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684BE9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ТРЕТЯ</w:t>
      </w:r>
      <w:r w:rsidR="0098176A" w:rsidRPr="001E2FE6">
        <w:rPr>
          <w:b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>
        <w:rPr>
          <w:b/>
          <w:bCs/>
          <w:sz w:val="28"/>
          <w:szCs w:val="28"/>
          <w:lang w:val="uk-UA" w:eastAsia="en-US"/>
        </w:rPr>
        <w:t xml:space="preserve">                           </w:t>
      </w:r>
      <w:r>
        <w:rPr>
          <w:b/>
          <w:bCs/>
          <w:sz w:val="28"/>
          <w:szCs w:val="28"/>
          <w:lang w:val="uk-UA" w:eastAsia="en-US"/>
        </w:rPr>
        <w:t xml:space="preserve">    </w:t>
      </w:r>
      <w:r w:rsidR="0084167B">
        <w:rPr>
          <w:b/>
          <w:bCs/>
          <w:sz w:val="28"/>
          <w:szCs w:val="28"/>
          <w:lang w:val="uk-UA" w:eastAsia="en-US"/>
        </w:rPr>
        <w:t xml:space="preserve"> 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684BE9" w:rsidP="00C60B06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25 листопада </w:t>
      </w:r>
      <w:r w:rsidR="00D35DA1">
        <w:rPr>
          <w:rFonts w:eastAsia="Calibri"/>
          <w:b/>
          <w:sz w:val="28"/>
          <w:szCs w:val="28"/>
          <w:lang w:val="uk-UA" w:eastAsia="en-US"/>
        </w:rPr>
        <w:t>2025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84167B">
        <w:rPr>
          <w:b/>
          <w:sz w:val="28"/>
          <w:szCs w:val="28"/>
          <w:lang w:eastAsia="en-US"/>
        </w:rPr>
        <w:t>1862</w:t>
      </w:r>
      <w:bookmarkStart w:id="0" w:name="_GoBack"/>
      <w:bookmarkEnd w:id="0"/>
      <w:r w:rsidR="007A6E4E" w:rsidRPr="001E2FE6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- 43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8F28FB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за межами </w:t>
      </w:r>
    </w:p>
    <w:p w:rsidR="000262E7" w:rsidRPr="002342C6" w:rsidRDefault="008F28F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342C6">
        <w:rPr>
          <w:b/>
          <w:sz w:val="28"/>
          <w:szCs w:val="28"/>
          <w:lang w:val="uk-UA"/>
        </w:rPr>
        <w:t>с.</w:t>
      </w:r>
      <w:r w:rsidR="001E2FE6">
        <w:rPr>
          <w:b/>
          <w:sz w:val="28"/>
          <w:szCs w:val="28"/>
          <w:lang w:val="uk-UA"/>
        </w:rPr>
        <w:t xml:space="preserve"> </w:t>
      </w:r>
      <w:r w:rsidR="00D35DA1">
        <w:rPr>
          <w:b/>
          <w:sz w:val="28"/>
          <w:szCs w:val="28"/>
          <w:lang w:val="uk-UA"/>
        </w:rPr>
        <w:t>Горошків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684BE9">
        <w:rPr>
          <w:sz w:val="28"/>
          <w:szCs w:val="28"/>
          <w:lang w:val="uk-UA"/>
        </w:rPr>
        <w:t>клопотання СФГ «Титан»</w:t>
      </w:r>
      <w:r w:rsidR="00271CFC">
        <w:rPr>
          <w:sz w:val="28"/>
          <w:szCs w:val="28"/>
          <w:lang w:val="uk-UA"/>
        </w:rPr>
        <w:t>, витяг з Державного земельного кадастру</w:t>
      </w:r>
      <w:r w:rsidR="00701164">
        <w:rPr>
          <w:sz w:val="28"/>
          <w:szCs w:val="28"/>
          <w:lang w:val="uk-UA"/>
        </w:rPr>
        <w:t xml:space="preserve"> про земельну ділянку,</w:t>
      </w:r>
      <w:r w:rsidR="00271CFC">
        <w:rPr>
          <w:sz w:val="28"/>
          <w:szCs w:val="28"/>
          <w:lang w:val="uk-UA"/>
        </w:rPr>
        <w:t xml:space="preserve"> </w:t>
      </w:r>
      <w:r w:rsidR="00876907">
        <w:rPr>
          <w:sz w:val="28"/>
          <w:szCs w:val="28"/>
          <w:lang w:val="uk-UA"/>
        </w:rPr>
        <w:t xml:space="preserve">витяг з Державного реєстру речових прав,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0262E7" w:rsidRPr="000F11AA">
        <w:rPr>
          <w:sz w:val="28"/>
          <w:szCs w:val="28"/>
          <w:lang w:val="uk-UA"/>
        </w:rPr>
        <w:t>6, 13, 21 Закону України "Про оренду зе</w:t>
      </w:r>
      <w:r w:rsidR="00864E6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701164" w:rsidRPr="002B5C28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701164" w:rsidRDefault="002B5C28" w:rsidP="00C3110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ради  за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межами </w:t>
      </w:r>
    </w:p>
    <w:p w:rsidR="00C3110D" w:rsidRPr="0098176A" w:rsidRDefault="00701164" w:rsidP="00C3110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D35DA1">
        <w:rPr>
          <w:rFonts w:eastAsia="Calibri"/>
          <w:b/>
          <w:sz w:val="28"/>
          <w:szCs w:val="28"/>
          <w:lang w:val="uk-UA" w:eastAsia="en-US"/>
        </w:rPr>
        <w:t>с. Г</w:t>
      </w:r>
      <w:r w:rsidR="00684BE9">
        <w:rPr>
          <w:rFonts w:eastAsia="Calibri"/>
          <w:b/>
          <w:sz w:val="28"/>
          <w:szCs w:val="28"/>
          <w:lang w:val="uk-UA" w:eastAsia="en-US"/>
        </w:rPr>
        <w:t>орошків по вул. Центральній, 2-Ю</w:t>
      </w:r>
      <w:r w:rsidR="001E2FE6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684BE9">
        <w:rPr>
          <w:rFonts w:eastAsia="Calibri"/>
          <w:b/>
          <w:sz w:val="28"/>
          <w:szCs w:val="28"/>
          <w:lang w:val="uk-UA" w:eastAsia="en-US"/>
        </w:rPr>
        <w:t>СФГ «Титан» (код ЄДРПОУ 31970301)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684BE9">
        <w:rPr>
          <w:rFonts w:eastAsia="Calibri"/>
          <w:sz w:val="28"/>
          <w:szCs w:val="28"/>
          <w:lang w:val="uk-UA" w:eastAsia="en-US"/>
        </w:rPr>
        <w:t>1,1064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684BE9">
        <w:rPr>
          <w:rFonts w:eastAsia="Calibri"/>
          <w:b/>
          <w:sz w:val="28"/>
          <w:szCs w:val="28"/>
          <w:lang w:val="uk-UA" w:eastAsia="en-US"/>
        </w:rPr>
        <w:t>3224682000:06:003:0030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3D344F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>
        <w:rPr>
          <w:rFonts w:eastAsia="Calibri"/>
          <w:sz w:val="28"/>
          <w:szCs w:val="28"/>
          <w:lang w:val="uk-UA" w:eastAsia="en-US"/>
        </w:rPr>
        <w:t>років.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Pr="00D35DA1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84BE9">
        <w:rPr>
          <w:rFonts w:eastAsia="Calibri"/>
          <w:sz w:val="28"/>
          <w:szCs w:val="28"/>
          <w:lang w:val="uk-UA" w:eastAsia="en-US"/>
        </w:rPr>
        <w:t>що складає 1641 грн. 42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>ілянки  становить 41 035 грн. 43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7A6E4E" w:rsidRPr="00E36836" w:rsidRDefault="007A6E4E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46F87" w:rsidRDefault="009500BD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046F87" w:rsidRDefault="00046F87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9E0" w:rsidRPr="000F11AA" w:rsidRDefault="00AC69E0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E5D0E" w:rsidRDefault="00046F87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1E5D0E" w:rsidRPr="004F5771">
        <w:rPr>
          <w:sz w:val="28"/>
          <w:szCs w:val="28"/>
          <w:lang w:val="uk-UA"/>
        </w:rPr>
        <w:t>Кизимишина</w:t>
      </w:r>
      <w:proofErr w:type="spellEnd"/>
      <w:r w:rsidR="001E5D0E" w:rsidRPr="004F5771">
        <w:rPr>
          <w:sz w:val="28"/>
          <w:szCs w:val="28"/>
          <w:lang w:val="uk-UA"/>
        </w:rPr>
        <w:t xml:space="preserve"> В.Й.</w:t>
      </w:r>
    </w:p>
    <w:p w:rsidR="00657634" w:rsidRDefault="0065763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35D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4695"/>
    <w:rsid w:val="002233A1"/>
    <w:rsid w:val="002250D9"/>
    <w:rsid w:val="002342C6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05D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56E1-CA6D-45B0-97D1-2A42BCF0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35</cp:revision>
  <cp:lastPrinted>2025-11-26T06:43:00Z</cp:lastPrinted>
  <dcterms:created xsi:type="dcterms:W3CDTF">2022-06-15T08:01:00Z</dcterms:created>
  <dcterms:modified xsi:type="dcterms:W3CDTF">2025-11-26T06:44:00Z</dcterms:modified>
</cp:coreProperties>
</file>