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8E3" w:rsidRDefault="006F08E3" w:rsidP="006F08E3"/>
    <w:p w:rsidR="006F08E3" w:rsidRPr="00BE40C3" w:rsidRDefault="00BE40C3" w:rsidP="00BE40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BE40C3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BE40C3" w:rsidRPr="00BE40C3" w:rsidRDefault="00BE40C3" w:rsidP="00BE40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д</w:t>
      </w:r>
      <w:r w:rsidRPr="00BE40C3">
        <w:rPr>
          <w:rFonts w:ascii="Times New Roman" w:hAnsi="Times New Roman" w:cs="Times New Roman"/>
          <w:sz w:val="24"/>
          <w:szCs w:val="24"/>
        </w:rPr>
        <w:t>о Програми</w:t>
      </w:r>
    </w:p>
    <w:p w:rsidR="00A73152" w:rsidRDefault="00A73152" w:rsidP="006F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08E3" w:rsidRDefault="006F08E3" w:rsidP="00BE4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1318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ПЕРЕЛІК ЗАВДАНЬ І ЗАХОДІВ</w:t>
      </w:r>
    </w:p>
    <w:p w:rsidR="004A0F2C" w:rsidRPr="0071318C" w:rsidRDefault="004A0F2C" w:rsidP="00BE4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567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236"/>
        <w:gridCol w:w="45"/>
        <w:gridCol w:w="1676"/>
        <w:gridCol w:w="472"/>
        <w:gridCol w:w="90"/>
        <w:gridCol w:w="1395"/>
        <w:gridCol w:w="708"/>
        <w:gridCol w:w="135"/>
        <w:gridCol w:w="1114"/>
        <w:gridCol w:w="7"/>
        <w:gridCol w:w="937"/>
        <w:gridCol w:w="180"/>
        <w:gridCol w:w="833"/>
        <w:gridCol w:w="1180"/>
        <w:gridCol w:w="225"/>
        <w:gridCol w:w="552"/>
        <w:gridCol w:w="1416"/>
        <w:gridCol w:w="270"/>
        <w:gridCol w:w="271"/>
        <w:gridCol w:w="1652"/>
        <w:gridCol w:w="305"/>
        <w:gridCol w:w="14"/>
      </w:tblGrid>
      <w:tr w:rsidR="006F08E3" w:rsidRPr="0071318C" w:rsidTr="002707E2">
        <w:trPr>
          <w:trHeight w:val="327"/>
        </w:trPr>
        <w:tc>
          <w:tcPr>
            <w:tcW w:w="2238" w:type="dxa"/>
            <w:gridSpan w:val="3"/>
          </w:tcPr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Програма розвитку фізичного здоров’я населення на 2026-2027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з/п </w:t>
            </w:r>
          </w:p>
        </w:tc>
        <w:tc>
          <w:tcPr>
            <w:tcW w:w="2238" w:type="dxa"/>
            <w:gridSpan w:val="3"/>
          </w:tcPr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Назва завдання </w:t>
            </w:r>
          </w:p>
        </w:tc>
        <w:tc>
          <w:tcPr>
            <w:tcW w:w="2238" w:type="dxa"/>
            <w:gridSpan w:val="3"/>
          </w:tcPr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Перелік заходів завдання </w:t>
            </w:r>
          </w:p>
        </w:tc>
        <w:tc>
          <w:tcPr>
            <w:tcW w:w="2238" w:type="dxa"/>
            <w:gridSpan w:val="4"/>
          </w:tcPr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38" w:type="dxa"/>
            <w:gridSpan w:val="3"/>
          </w:tcPr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Виконавець заходу, показника </w:t>
            </w:r>
          </w:p>
        </w:tc>
        <w:tc>
          <w:tcPr>
            <w:tcW w:w="2238" w:type="dxa"/>
            <w:gridSpan w:val="3"/>
          </w:tcPr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gridSpan w:val="4"/>
          </w:tcPr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Очікуваний результат </w:t>
            </w:r>
          </w:p>
        </w:tc>
      </w:tr>
      <w:tr w:rsidR="00D61BA2" w:rsidRPr="0071318C" w:rsidTr="00D61BA2">
        <w:trPr>
          <w:gridAfter w:val="12"/>
          <w:wAfter w:w="7835" w:type="dxa"/>
          <w:trHeight w:val="172"/>
        </w:trPr>
        <w:tc>
          <w:tcPr>
            <w:tcW w:w="7835" w:type="dxa"/>
            <w:gridSpan w:val="11"/>
          </w:tcPr>
          <w:p w:rsidR="00D61BA2" w:rsidRPr="0071318C" w:rsidRDefault="00D61BA2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61BA2" w:rsidRPr="0071318C" w:rsidTr="002707E2">
        <w:trPr>
          <w:gridAfter w:val="12"/>
          <w:wAfter w:w="7835" w:type="dxa"/>
          <w:trHeight w:val="274"/>
        </w:trPr>
        <w:tc>
          <w:tcPr>
            <w:tcW w:w="7835" w:type="dxa"/>
            <w:gridSpan w:val="11"/>
          </w:tcPr>
          <w:p w:rsidR="00D61BA2" w:rsidRPr="0071318C" w:rsidRDefault="00D61BA2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6F08E3" w:rsidRPr="0071318C" w:rsidTr="002707E2">
        <w:trPr>
          <w:gridAfter w:val="1"/>
          <w:wAfter w:w="14" w:type="dxa"/>
          <w:trHeight w:val="1354"/>
        </w:trPr>
        <w:tc>
          <w:tcPr>
            <w:tcW w:w="1957" w:type="dxa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Сприяння діяльності закладів фізичної культури і спорту та організацій фізкультурно-спортивної спрямованості 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Закупівля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спортивного інвентарю, та обладнання, спортивного одягу,  взуття, спеціального транспортного засобу (катер).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57" w:type="dxa"/>
            <w:gridSpan w:val="4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Відділи культури, молоді і спорту, освіти, Тетіївської міської ради 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Міський бюджет 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57" w:type="dxa"/>
            <w:gridSpan w:val="2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Забезпечення належної організації заходів та функціонування відповідних закладів</w:t>
            </w:r>
          </w:p>
        </w:tc>
      </w:tr>
      <w:tr w:rsidR="006F08E3" w:rsidRPr="0071318C" w:rsidTr="002707E2">
        <w:trPr>
          <w:gridAfter w:val="1"/>
          <w:wAfter w:w="14" w:type="dxa"/>
          <w:trHeight w:val="1492"/>
        </w:trPr>
        <w:tc>
          <w:tcPr>
            <w:tcW w:w="1957" w:type="dxa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Інформаційно-просвітницька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кампанії 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Висвітлення спортивно-масових заходів у засобах масової інформації,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рекламна кампанія, проведення просвітницької роботи – за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здоровий спосіб життя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57" w:type="dxa"/>
            <w:gridSpan w:val="4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діл культури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молоді і спорту 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Міський бюджет </w:t>
            </w:r>
          </w:p>
        </w:tc>
        <w:tc>
          <w:tcPr>
            <w:tcW w:w="1957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57" w:type="dxa"/>
            <w:gridSpan w:val="2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Збільшення кількості населення яке займається оздоровленням </w:t>
            </w:r>
          </w:p>
        </w:tc>
      </w:tr>
      <w:tr w:rsidR="006F08E3" w:rsidRPr="0071318C" w:rsidTr="002707E2">
        <w:trPr>
          <w:gridAfter w:val="2"/>
          <w:wAfter w:w="319" w:type="dxa"/>
          <w:trHeight w:val="2044"/>
        </w:trPr>
        <w:tc>
          <w:tcPr>
            <w:tcW w:w="2193" w:type="dxa"/>
            <w:gridSpan w:val="2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Залучення сторонніх інструкторів, тренерів, що не мають систематичного характеру</w:t>
            </w: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(за договорами, цивільно-правовими угодами)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Оплата послуг</w:t>
            </w:r>
          </w:p>
        </w:tc>
        <w:tc>
          <w:tcPr>
            <w:tcW w:w="2193" w:type="dxa"/>
            <w:gridSpan w:val="4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 культури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молоді і спорту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Тетіївської міської ради, 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Міський бюджет 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D61BA2" w:rsidP="00D61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тиму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лювання у професійному розвитку. З</w:t>
            </w:r>
            <w:r w:rsidR="006F08E3"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абезпечення належного функціонування </w:t>
            </w:r>
            <w:r w:rsidR="006F08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КЗ «Ц</w:t>
            </w:r>
            <w:r w:rsidR="006F08E3"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ентру фізичного здоров’я населення “Спорт для всіх”, </w:t>
            </w:r>
            <w:r w:rsidR="006F08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Тетіївської ДЮСШ</w:t>
            </w:r>
          </w:p>
        </w:tc>
      </w:tr>
      <w:tr w:rsidR="006F08E3" w:rsidRPr="0071318C" w:rsidTr="002707E2">
        <w:trPr>
          <w:gridAfter w:val="2"/>
          <w:wAfter w:w="319" w:type="dxa"/>
          <w:trHeight w:val="1492"/>
        </w:trPr>
        <w:tc>
          <w:tcPr>
            <w:tcW w:w="2193" w:type="dxa"/>
            <w:gridSpan w:val="2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Оплата енергоносіїв.</w:t>
            </w: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Своєчасна оплата послуг водопостачання, електричної енергії та природного газу 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Оплата послуг</w:t>
            </w: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93" w:type="dxa"/>
            <w:gridSpan w:val="4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 культури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молоді і спорту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Тетіївської міської ради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Міський бюджет 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Забезпечення належного функціонування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КЗ «Ц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ентру фізичного здоров’я населення “Спорт для всіх”,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Міського стадіону, Тетіївської ДЮСШ, </w:t>
            </w:r>
            <w:r w:rsidRPr="007131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своєчасна оплата послуг водопостачання, електричної енергії та природного газу </w:t>
            </w:r>
          </w:p>
        </w:tc>
      </w:tr>
      <w:tr w:rsidR="006F08E3" w:rsidRPr="0071318C" w:rsidTr="00BB64E8">
        <w:trPr>
          <w:gridAfter w:val="2"/>
          <w:wAfter w:w="319" w:type="dxa"/>
          <w:trHeight w:val="1711"/>
        </w:trPr>
        <w:tc>
          <w:tcPr>
            <w:tcW w:w="2193" w:type="dxa"/>
            <w:gridSpan w:val="2"/>
            <w:tcBorders>
              <w:left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Покращення матеріально-технічної</w:t>
            </w:r>
            <w:r w:rsidRPr="007131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бази </w:t>
            </w:r>
          </w:p>
          <w:p w:rsidR="006F08E3" w:rsidRPr="00D167AD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Проведення поточного та капітального ремонту в </w:t>
            </w:r>
            <w:r w:rsidRPr="00D167AD">
              <w:rPr>
                <w:rFonts w:ascii="Times New Roman" w:hAnsi="Times New Roman" w:cs="Times New Roman"/>
                <w:sz w:val="26"/>
                <w:szCs w:val="26"/>
              </w:rPr>
              <w:t>приміщеннях.</w:t>
            </w:r>
          </w:p>
          <w:p w:rsidR="006F08E3" w:rsidRPr="00435853" w:rsidRDefault="006F08E3" w:rsidP="00D61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7AD">
              <w:rPr>
                <w:rFonts w:ascii="Times New Roman" w:hAnsi="Times New Roman" w:cs="Times New Roman"/>
                <w:sz w:val="26"/>
                <w:szCs w:val="26"/>
              </w:rPr>
              <w:t xml:space="preserve">Оснащення дообладнання міського стадіону, </w:t>
            </w:r>
            <w:r w:rsidR="00D61BA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167AD">
              <w:rPr>
                <w:rFonts w:ascii="Times New Roman" w:hAnsi="Times New Roman" w:cs="Times New Roman"/>
                <w:sz w:val="26"/>
                <w:szCs w:val="26"/>
              </w:rPr>
              <w:t xml:space="preserve">бігових доріжок), </w:t>
            </w:r>
            <w:r w:rsidR="00D61BA2" w:rsidRPr="00D167AD">
              <w:rPr>
                <w:rFonts w:ascii="Times New Roman" w:hAnsi="Times New Roman" w:cs="Times New Roman"/>
                <w:sz w:val="26"/>
                <w:szCs w:val="26"/>
              </w:rPr>
              <w:t>облаштування вуличного освітлення на спортивних майданчиках стадіону,</w:t>
            </w:r>
            <w:r w:rsidRPr="00D167AD">
              <w:rPr>
                <w:rFonts w:ascii="Times New Roman" w:hAnsi="Times New Roman" w:cs="Times New Roman"/>
                <w:sz w:val="26"/>
                <w:szCs w:val="26"/>
              </w:rPr>
              <w:t>встановлення лавок тощо, облаштування, спортивних зал закладів освіти громади, облаштування тренажерного залу, приміщення спортивної школи</w:t>
            </w: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Покращення матеріальної бази спортивних закладів</w:t>
            </w: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93" w:type="dxa"/>
            <w:gridSpan w:val="4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 культури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молоді і спорту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відділ освіти Тетіївської міської ради , КП «Благоустрій»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Міський бюджет</w:t>
            </w:r>
            <w:r w:rsidR="007535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позабюджетні кошти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93" w:type="dxa"/>
            <w:gridSpan w:val="3"/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193" w:type="dxa"/>
            <w:gridSpan w:val="3"/>
            <w:tcBorders>
              <w:right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Забезпечення належного функціонування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КЗ «Ц</w:t>
            </w: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ентру фізичного здоров’я населення “Спорт для всіх”,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Тетіївської дитячо-юнацької спортивної школи, шкільних спортзалів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F08E3" w:rsidRPr="0071318C" w:rsidTr="002707E2">
        <w:trPr>
          <w:gridAfter w:val="2"/>
          <w:wAfter w:w="319" w:type="dxa"/>
          <w:trHeight w:val="1492"/>
        </w:trPr>
        <w:tc>
          <w:tcPr>
            <w:tcW w:w="2193" w:type="dxa"/>
            <w:gridSpan w:val="2"/>
            <w:tcBorders>
              <w:left w:val="nil"/>
              <w:bottom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6. 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7.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8.</w:t>
            </w: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t>9.</w:t>
            </w: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t>10.</w:t>
            </w: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t>11.</w:t>
            </w: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Pr="00EA7C01" w:rsidRDefault="006F08E3" w:rsidP="002707E2">
            <w:pPr>
              <w:pStyle w:val="a3"/>
              <w:rPr>
                <w:lang w:eastAsia="uk-UA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93" w:type="dxa"/>
            <w:gridSpan w:val="3"/>
            <w:tcBorders>
              <w:bottom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Виготовлення ПКД на капітальний ремонт будівлі комунальної власності для облаштування тренажерного залу, спортивної школи та інших будівель і  споруд 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Організація зустрічей, забезпечення проживання, харчування, організація фуршетів для учасників заходів, перевезення спортсменів 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  <w:r w:rsidRPr="00EA7C01">
              <w:rPr>
                <w:sz w:val="23"/>
                <w:szCs w:val="23"/>
                <w:lang w:eastAsia="uk-UA"/>
              </w:rPr>
              <w:t>Проведення фізкультурно-оздоровчих та спортивних заходів,</w:t>
            </w:r>
            <w:r>
              <w:rPr>
                <w:sz w:val="23"/>
                <w:szCs w:val="23"/>
                <w:lang w:eastAsia="uk-UA"/>
              </w:rPr>
              <w:t xml:space="preserve"> закупівля нагородної атрибутики,заохочу заохочувальних призів </w:t>
            </w: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t xml:space="preserve">Популяризація здорового способу життя (оплата </w:t>
            </w:r>
            <w:r>
              <w:rPr>
                <w:sz w:val="23"/>
                <w:szCs w:val="23"/>
                <w:lang w:eastAsia="uk-UA"/>
              </w:rPr>
              <w:lastRenderedPageBreak/>
              <w:t>послуг лекторів,організація семінарів, проведення лекцій, засідань круглих столів тощо).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t xml:space="preserve">Он-лайн трансляція спортивних заходів тощо. Закупівля </w:t>
            </w:r>
            <w:r>
              <w:rPr>
                <w:sz w:val="23"/>
                <w:szCs w:val="23"/>
                <w:lang w:val="en-US" w:eastAsia="uk-UA"/>
              </w:rPr>
              <w:t>Led</w:t>
            </w:r>
            <w:r w:rsidRPr="00510162">
              <w:rPr>
                <w:sz w:val="23"/>
                <w:szCs w:val="23"/>
                <w:lang w:val="ru-RU" w:eastAsia="uk-UA"/>
              </w:rPr>
              <w:t>-</w:t>
            </w:r>
            <w:r>
              <w:rPr>
                <w:sz w:val="23"/>
                <w:szCs w:val="23"/>
                <w:lang w:eastAsia="uk-UA"/>
              </w:rPr>
              <w:t xml:space="preserve">екранів, відео та звукової апаратури та програмного забезпечення </w:t>
            </w: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</w:p>
          <w:p w:rsidR="006F08E3" w:rsidRPr="00BD0BAD" w:rsidRDefault="006F08E3" w:rsidP="002707E2">
            <w:pPr>
              <w:pStyle w:val="a3"/>
              <w:rPr>
                <w:sz w:val="23"/>
                <w:szCs w:val="23"/>
                <w:lang w:eastAsia="uk-UA"/>
              </w:rPr>
            </w:pPr>
            <w:r>
              <w:rPr>
                <w:sz w:val="23"/>
                <w:szCs w:val="23"/>
                <w:lang w:eastAsia="uk-UA"/>
              </w:rPr>
              <w:t>Організація спортивних заходів «Пліч-о-пліч Всеукраїнські шкільні ліги»</w:t>
            </w:r>
          </w:p>
        </w:tc>
        <w:tc>
          <w:tcPr>
            <w:tcW w:w="2193" w:type="dxa"/>
            <w:gridSpan w:val="3"/>
            <w:tcBorders>
              <w:bottom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Покращення матеріальної бази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Організація спортивних заходів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Належна організація заходів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Просвітницька діяльність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Просвітницька діяльність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Залучення шкільної молоді до активного спорту, популяризація здорового способу життя</w:t>
            </w:r>
            <w:r w:rsidR="00BE40C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</w:t>
            </w: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Pr="0071318C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Секретар міської ради</w:t>
            </w:r>
          </w:p>
        </w:tc>
        <w:tc>
          <w:tcPr>
            <w:tcW w:w="2193" w:type="dxa"/>
            <w:gridSpan w:val="4"/>
            <w:tcBorders>
              <w:bottom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Відділ культури, молоді і спорту Тетіївської міської ради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 культури, молоді і спорту, відділ освіти Тетіївської міської ради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 культури, молоді і спорту, відділ освіти Тетіївської міської ради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 культури, молоді і спорту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 культури, молоді і спорту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Відділ культури, молоді і спорту, відділ освіти Тетіївської міської ради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Pr="0071318C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93" w:type="dxa"/>
            <w:gridSpan w:val="3"/>
            <w:tcBorders>
              <w:bottom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Місцевий бюджет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Місцевий бюджет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Місцевий бюджет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Місцевий бюджет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Місцевий бюджет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Місцевий бюджет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E40C3" w:rsidRPr="0071318C" w:rsidRDefault="00BE40C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Наталія ІВАНЮТА</w:t>
            </w:r>
            <w:bookmarkStart w:id="0" w:name="_GoBack"/>
            <w:bookmarkEnd w:id="0"/>
          </w:p>
        </w:tc>
        <w:tc>
          <w:tcPr>
            <w:tcW w:w="2193" w:type="dxa"/>
            <w:gridSpan w:val="3"/>
            <w:tcBorders>
              <w:bottom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193" w:type="dxa"/>
            <w:gridSpan w:val="3"/>
            <w:tcBorders>
              <w:bottom w:val="nil"/>
              <w:right w:val="nil"/>
            </w:tcBorders>
          </w:tcPr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318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Забезпечення належного функціонування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об’єктів комунальної власності, які використовуються у галузі спорту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Організація заходів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Організація заходів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Проведення заходів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Проведення заходів</w:t>
            </w: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F08E3" w:rsidRPr="0071318C" w:rsidRDefault="006F08E3" w:rsidP="00270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Згуртування шкільної молоді</w:t>
            </w:r>
          </w:p>
        </w:tc>
      </w:tr>
    </w:tbl>
    <w:p w:rsidR="00AD60C1" w:rsidRDefault="00BE40C3"/>
    <w:sectPr w:rsidR="00AD60C1" w:rsidSect="00BE40C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E3"/>
    <w:rsid w:val="00397334"/>
    <w:rsid w:val="004A0F2C"/>
    <w:rsid w:val="006F08E3"/>
    <w:rsid w:val="007535C7"/>
    <w:rsid w:val="00A73152"/>
    <w:rsid w:val="00BB64E8"/>
    <w:rsid w:val="00BE40C3"/>
    <w:rsid w:val="00D61BA2"/>
    <w:rsid w:val="00D9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F2F5"/>
  <w15:docId w15:val="{1DE8ACAE-871C-4100-89AF-84B3AEC9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8E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0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A67F6-7915-483E-996D-8118ABAD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Анатоліївна</dc:creator>
  <cp:lastModifiedBy>User Windows</cp:lastModifiedBy>
  <cp:revision>9</cp:revision>
  <cp:lastPrinted>2025-10-24T07:29:00Z</cp:lastPrinted>
  <dcterms:created xsi:type="dcterms:W3CDTF">2025-10-24T07:07:00Z</dcterms:created>
  <dcterms:modified xsi:type="dcterms:W3CDTF">2025-10-24T12:12:00Z</dcterms:modified>
</cp:coreProperties>
</file>