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B2" w:rsidRPr="009B4831" w:rsidRDefault="006E25B2" w:rsidP="006E25B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25B2" w:rsidRPr="009B4831" w:rsidRDefault="006E25B2" w:rsidP="006E25B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483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5B2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343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ДВАДЦЯТЬ  ВОСЬМА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5515AA" w:rsidRDefault="005515AA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25B2" w:rsidRPr="009B4831" w:rsidRDefault="001C1B13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B584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A16F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6E25B2"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>Р І Ш Е Н Н Я</w:t>
      </w:r>
    </w:p>
    <w:p w:rsidR="006E25B2" w:rsidRPr="001F3245" w:rsidRDefault="006E25B2" w:rsidP="001F3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sz w:val="28"/>
          <w:szCs w:val="28"/>
        </w:rPr>
        <w:br/>
      </w:r>
      <w:r w:rsid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F43C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25 </w:t>
      </w:r>
      <w:r w:rsid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3431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червня</w:t>
      </w:r>
      <w:r w:rsidR="001C1B1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30DCD"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B58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2024</w:t>
      </w:r>
      <w:r w:rsidR="001F3245"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  <w:r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5158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 xml:space="preserve">  №</w:t>
      </w:r>
      <w:r w:rsidR="008B584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F3082">
        <w:rPr>
          <w:rFonts w:ascii="Times New Roman" w:eastAsia="Times New Roman" w:hAnsi="Times New Roman" w:cs="Times New Roman"/>
          <w:b/>
          <w:sz w:val="28"/>
          <w:szCs w:val="28"/>
        </w:rPr>
        <w:t>1321</w:t>
      </w:r>
      <w:bookmarkStart w:id="0" w:name="_GoBack"/>
      <w:bookmarkEnd w:id="0"/>
      <w:r w:rsidR="008B58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0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F3245" w:rsidRPr="001F32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343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28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65D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</w:p>
    <w:p w:rsidR="008878B1" w:rsidRPr="009B4831" w:rsidRDefault="008878B1" w:rsidP="00887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5B2" w:rsidRPr="009B4831" w:rsidRDefault="0079146E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</w:t>
      </w:r>
      <w:r w:rsidR="003343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атвердження технічної  документації</w:t>
      </w:r>
    </w:p>
    <w:p w:rsidR="00D5451F" w:rsidRDefault="001F3245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9146E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 зем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леустрою</w:t>
      </w:r>
      <w:r w:rsidR="00BF520F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 встановлення</w:t>
      </w:r>
      <w:r w:rsidR="00D54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(відновлення) </w:t>
      </w:r>
    </w:p>
    <w:p w:rsidR="00BF520F" w:rsidRDefault="00334315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меж  земельної ділянки</w:t>
      </w:r>
      <w:r w:rsidR="00BF520F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натурі (на місцевості), </w:t>
      </w:r>
    </w:p>
    <w:p w:rsidR="00BF520F" w:rsidRDefault="001F3245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343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яка розташована</w:t>
      </w:r>
      <w:r w:rsidR="006E43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території Тетіївської </w:t>
      </w:r>
    </w:p>
    <w:p w:rsidR="006E25B2" w:rsidRPr="009B4831" w:rsidRDefault="006E25B2" w:rsidP="001F3245">
      <w:pPr>
        <w:tabs>
          <w:tab w:val="left" w:pos="0"/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ради</w:t>
      </w:r>
    </w:p>
    <w:p w:rsidR="006E25B2" w:rsidRPr="009B4831" w:rsidRDefault="006E25B2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25B2" w:rsidRDefault="006E25B2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</w:t>
      </w:r>
      <w:r w:rsidR="003343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заяву гр. Корнієнко С.В.</w:t>
      </w:r>
      <w:r w:rsidR="000E1D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43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розроблену ФОП Тарнавський В.А. </w:t>
      </w:r>
      <w:r w:rsidR="0055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2E7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техні</w:t>
      </w:r>
      <w:r w:rsidR="00334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чну документацію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щодо встановлення</w:t>
      </w:r>
      <w:r w:rsidR="00D5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(відновлення)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меж </w:t>
      </w:r>
      <w:r w:rsidR="00334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земельної ділянки</w:t>
      </w:r>
      <w:r w:rsidR="003A1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в натурі </w:t>
      </w:r>
      <w:r w:rsidR="008878B1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місцев</w:t>
      </w:r>
      <w:r w:rsidR="008878B1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ості)</w:t>
      </w:r>
      <w:r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 керуючись пунктом 34 частиною 1 статті </w:t>
      </w:r>
      <w:r w:rsidRP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26, </w:t>
      </w:r>
      <w:r w:rsidR="009E2CFA">
        <w:rPr>
          <w:rFonts w:ascii="Times New Roman" w:eastAsia="Calibri" w:hAnsi="Times New Roman" w:cs="Times New Roman"/>
          <w:sz w:val="28"/>
          <w:szCs w:val="28"/>
          <w:lang w:val="uk-UA"/>
        </w:rPr>
        <w:t>статтею</w:t>
      </w:r>
      <w:r w:rsidRPr="001F32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59</w:t>
      </w:r>
      <w:r w:rsidRPr="009B4831">
        <w:rPr>
          <w:rFonts w:ascii="Calibri" w:eastAsia="Calibri" w:hAnsi="Calibri" w:cs="Times New Roman"/>
          <w:sz w:val="28"/>
          <w:szCs w:val="28"/>
          <w:lang w:val="uk-UA"/>
        </w:rPr>
        <w:t xml:space="preserve"> 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відповідно до стат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 12,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116,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118,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121,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125,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126,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186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Земельного кодексу України, стат</w:t>
      </w:r>
      <w:r w:rsidR="009E2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тей</w:t>
      </w:r>
      <w:r w:rsidR="00D5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19, 25, 55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Закону України «Про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землеустрій», Закону України «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державну реєстрацію речових прав на нерухоме майно та їх обтяжень»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Тетіївська міська рада</w:t>
      </w:r>
    </w:p>
    <w:p w:rsidR="00053EE0" w:rsidRPr="009B4831" w:rsidRDefault="00053EE0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25B2" w:rsidRPr="009B4831" w:rsidRDefault="006E25B2" w:rsidP="001F3245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</w:p>
    <w:p w:rsidR="007C6339" w:rsidRPr="009B4831" w:rsidRDefault="007C6339" w:rsidP="001F3245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4044" w:rsidRPr="009B4831" w:rsidRDefault="006E25B2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атве</w:t>
      </w:r>
      <w:r w:rsid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рдити</w:t>
      </w:r>
      <w:r w:rsidR="003343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розроблену ФОП Тарнавський В.А.</w:t>
      </w:r>
      <w:r w:rsidR="006E43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технічну документацію</w:t>
      </w:r>
      <w:r w:rsidR="0025261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77776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із землеустрою,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 встановлення </w:t>
      </w:r>
      <w:r w:rsidR="00D54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(відновлення) 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меж 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земельної  ділянки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натурі </w:t>
      </w:r>
      <w:r w:rsidR="008878B1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місцевості</w:t>
      </w:r>
      <w:r w:rsidR="008878B1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195F9B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яка  розташована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на тер</w:t>
      </w:r>
      <w:r w:rsidR="00474044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иторії Тетіївської міської ради</w:t>
      </w:r>
      <w:r w:rsidR="003343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межами с. Ненадиха</w:t>
      </w:r>
    </w:p>
    <w:p w:rsidR="00452E3D" w:rsidRDefault="00452E3D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6F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3343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Корнієнко Світлані Вікторівні</w:t>
      </w:r>
      <w:r w:rsidR="008B58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E2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3343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2,7438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для ведення товарного сільськогосподарського виробництв</w:t>
      </w:r>
      <w:r w:rsidR="008B5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а, </w:t>
      </w:r>
      <w:r w:rsidR="003343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 номер 3224684800:02:007:0005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5848" w:rsidRDefault="008B5848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3245" w:rsidRDefault="00306239" w:rsidP="00FF43CD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Спеціалісту міської ради з земельних пита</w:t>
      </w:r>
      <w:r w:rsidR="00121A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  та старості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 в </w:t>
      </w:r>
    </w:p>
    <w:p w:rsidR="005303A1" w:rsidRDefault="001F3245" w:rsidP="00FF43CD">
      <w:pPr>
        <w:spacing w:after="0"/>
        <w:ind w:left="142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земельно-кадастрову книгу по облік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земель та направити </w:t>
      </w:r>
      <w:r w:rsidR="001F2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до </w:t>
      </w:r>
    </w:p>
    <w:p w:rsidR="001F3245" w:rsidRPr="001F28EA" w:rsidRDefault="005303A1" w:rsidP="00FF43CD">
      <w:pPr>
        <w:spacing w:after="0"/>
        <w:ind w:left="142" w:hanging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F28EA">
        <w:rPr>
          <w:rFonts w:ascii="Times New Roman" w:eastAsia="Times New Roman" w:hAnsi="Times New Roman"/>
          <w:sz w:val="28"/>
          <w:szCs w:val="28"/>
          <w:lang w:val="uk-UA" w:eastAsia="ru-RU"/>
        </w:rPr>
        <w:t>Тетіївської</w:t>
      </w:r>
      <w:r w:rsidR="001F32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/>
          <w:sz w:val="28"/>
          <w:szCs w:val="28"/>
          <w:lang w:val="uk-UA" w:eastAsia="ru-RU"/>
        </w:rPr>
        <w:t>ДПІ</w:t>
      </w:r>
      <w:r w:rsidR="007F6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6E25B2" w:rsidRPr="009B48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ГУ ДПС  в Київській області  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внесення змін до даних по </w:t>
      </w:r>
    </w:p>
    <w:p w:rsidR="006E25B2" w:rsidRDefault="001F3245" w:rsidP="00FF43CD">
      <w:pPr>
        <w:spacing w:after="0"/>
        <w:ind w:left="142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нарахуванню земельного податку.</w:t>
      </w:r>
    </w:p>
    <w:p w:rsidR="001F3245" w:rsidRPr="009B4831" w:rsidRDefault="001F3245" w:rsidP="001F3245">
      <w:pPr>
        <w:spacing w:after="0"/>
        <w:ind w:left="142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25B2" w:rsidRPr="00382DD4" w:rsidRDefault="00306239" w:rsidP="00382DD4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1F32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F32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комісії - 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Крамар О.А.)</w:t>
      </w:r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першого заступника міського голови Кизимишина В.Й.</w:t>
      </w:r>
      <w:r w:rsidR="006E25B2" w:rsidRPr="009B483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</w:p>
    <w:p w:rsidR="00053EE0" w:rsidRDefault="00053EE0" w:rsidP="00053EE0">
      <w:pPr>
        <w:pStyle w:val="HTML"/>
        <w:spacing w:line="276" w:lineRule="auto"/>
        <w:ind w:right="-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B429C1" w:rsidRDefault="00B429C1" w:rsidP="00053EE0">
      <w:pPr>
        <w:pStyle w:val="HTML"/>
        <w:spacing w:line="276" w:lineRule="auto"/>
        <w:ind w:right="-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B429C1" w:rsidRDefault="00B429C1" w:rsidP="00053EE0">
      <w:pPr>
        <w:pStyle w:val="HTML"/>
        <w:spacing w:line="276" w:lineRule="auto"/>
        <w:ind w:right="-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053EE0" w:rsidRPr="00053EE0" w:rsidRDefault="003A16FC" w:rsidP="00053EE0">
      <w:pPr>
        <w:pStyle w:val="HTML"/>
        <w:spacing w:line="276" w:lineRule="auto"/>
        <w:ind w:right="-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</w:t>
      </w:r>
      <w:r w:rsidR="006E43B2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="00053EE0" w:rsidRPr="00053E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6E4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29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E4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Богдан БАЛАГУРА</w:t>
      </w:r>
    </w:p>
    <w:p w:rsidR="00732940" w:rsidRDefault="00732940" w:rsidP="00732940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32940" w:rsidRDefault="00732940" w:rsidP="00732940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32940" w:rsidRDefault="00732940" w:rsidP="00732940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32940" w:rsidRPr="00732940" w:rsidRDefault="00732940" w:rsidP="00732940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2940" w:rsidRPr="00732940" w:rsidRDefault="00732940" w:rsidP="00732940">
      <w:pPr>
        <w:rPr>
          <w:rFonts w:ascii="Calibri" w:eastAsia="Calibri" w:hAnsi="Calibri" w:cs="Times New Roman"/>
        </w:rPr>
      </w:pPr>
    </w:p>
    <w:p w:rsidR="00FC6478" w:rsidRPr="009B4831" w:rsidRDefault="00FC6478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C6478" w:rsidRPr="009B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11"/>
    <w:rsid w:val="000240A1"/>
    <w:rsid w:val="00052F6D"/>
    <w:rsid w:val="00053EE0"/>
    <w:rsid w:val="00056B42"/>
    <w:rsid w:val="00062F8D"/>
    <w:rsid w:val="00071C2F"/>
    <w:rsid w:val="00080B0F"/>
    <w:rsid w:val="00095DEC"/>
    <w:rsid w:val="000E1DA3"/>
    <w:rsid w:val="00121A6C"/>
    <w:rsid w:val="00156A11"/>
    <w:rsid w:val="00180C01"/>
    <w:rsid w:val="00195F9B"/>
    <w:rsid w:val="001C1B13"/>
    <w:rsid w:val="001F05B5"/>
    <w:rsid w:val="001F28EA"/>
    <w:rsid w:val="001F3082"/>
    <w:rsid w:val="001F3245"/>
    <w:rsid w:val="00233C77"/>
    <w:rsid w:val="00237F0B"/>
    <w:rsid w:val="002510BC"/>
    <w:rsid w:val="00252610"/>
    <w:rsid w:val="00265DA6"/>
    <w:rsid w:val="00280667"/>
    <w:rsid w:val="002A0963"/>
    <w:rsid w:val="002A59AC"/>
    <w:rsid w:val="002E01A0"/>
    <w:rsid w:val="00306239"/>
    <w:rsid w:val="00311766"/>
    <w:rsid w:val="00334315"/>
    <w:rsid w:val="00382DD4"/>
    <w:rsid w:val="003939F3"/>
    <w:rsid w:val="003A16FC"/>
    <w:rsid w:val="003B0170"/>
    <w:rsid w:val="003B1A5F"/>
    <w:rsid w:val="00430DCD"/>
    <w:rsid w:val="00435E3B"/>
    <w:rsid w:val="00452E3D"/>
    <w:rsid w:val="004636E3"/>
    <w:rsid w:val="00474044"/>
    <w:rsid w:val="004D3A59"/>
    <w:rsid w:val="00515848"/>
    <w:rsid w:val="005303A1"/>
    <w:rsid w:val="00544EA2"/>
    <w:rsid w:val="005473B1"/>
    <w:rsid w:val="005515AA"/>
    <w:rsid w:val="0056217C"/>
    <w:rsid w:val="005D20C5"/>
    <w:rsid w:val="005F1711"/>
    <w:rsid w:val="005F2E0D"/>
    <w:rsid w:val="005F5BCC"/>
    <w:rsid w:val="006A1B99"/>
    <w:rsid w:val="006E25B2"/>
    <w:rsid w:val="006E43B2"/>
    <w:rsid w:val="006F475C"/>
    <w:rsid w:val="00732940"/>
    <w:rsid w:val="00766C33"/>
    <w:rsid w:val="00790C1F"/>
    <w:rsid w:val="0079146E"/>
    <w:rsid w:val="007A4CA6"/>
    <w:rsid w:val="007C6339"/>
    <w:rsid w:val="007F6AF7"/>
    <w:rsid w:val="0080201E"/>
    <w:rsid w:val="00813535"/>
    <w:rsid w:val="00824559"/>
    <w:rsid w:val="008516D6"/>
    <w:rsid w:val="0085251A"/>
    <w:rsid w:val="00886F60"/>
    <w:rsid w:val="008878B1"/>
    <w:rsid w:val="0089026C"/>
    <w:rsid w:val="008956B0"/>
    <w:rsid w:val="008B5848"/>
    <w:rsid w:val="008D42E7"/>
    <w:rsid w:val="008F237A"/>
    <w:rsid w:val="0091195C"/>
    <w:rsid w:val="00912065"/>
    <w:rsid w:val="009613AD"/>
    <w:rsid w:val="00973915"/>
    <w:rsid w:val="009804A9"/>
    <w:rsid w:val="00990C63"/>
    <w:rsid w:val="009B4831"/>
    <w:rsid w:val="009E2CFA"/>
    <w:rsid w:val="00AA6F0E"/>
    <w:rsid w:val="00AA7C92"/>
    <w:rsid w:val="00AE2F11"/>
    <w:rsid w:val="00B01E09"/>
    <w:rsid w:val="00B229E2"/>
    <w:rsid w:val="00B32FE7"/>
    <w:rsid w:val="00B429C1"/>
    <w:rsid w:val="00B61684"/>
    <w:rsid w:val="00B77776"/>
    <w:rsid w:val="00BF520F"/>
    <w:rsid w:val="00D116AD"/>
    <w:rsid w:val="00D40B94"/>
    <w:rsid w:val="00D5451F"/>
    <w:rsid w:val="00D61C74"/>
    <w:rsid w:val="00DF78EC"/>
    <w:rsid w:val="00DF7E35"/>
    <w:rsid w:val="00E1390E"/>
    <w:rsid w:val="00E22CDE"/>
    <w:rsid w:val="00E65CAA"/>
    <w:rsid w:val="00E83F19"/>
    <w:rsid w:val="00ED2E70"/>
    <w:rsid w:val="00EF2610"/>
    <w:rsid w:val="00F04F84"/>
    <w:rsid w:val="00F54A2D"/>
    <w:rsid w:val="00F560E1"/>
    <w:rsid w:val="00FB3E72"/>
    <w:rsid w:val="00FC6478"/>
    <w:rsid w:val="00FF2844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B572"/>
  <w15:docId w15:val="{B30B034B-4875-4424-AD16-F930E53A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E3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1F3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F3245"/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4898-0F57-4D8E-869D-1C139FEE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172</cp:revision>
  <cp:lastPrinted>2024-06-10T07:40:00Z</cp:lastPrinted>
  <dcterms:created xsi:type="dcterms:W3CDTF">2021-10-12T10:10:00Z</dcterms:created>
  <dcterms:modified xsi:type="dcterms:W3CDTF">2024-06-26T06:03:00Z</dcterms:modified>
</cp:coreProperties>
</file>