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3A" w:rsidRPr="008E5013" w:rsidRDefault="0016463A" w:rsidP="0016463A">
      <w:pPr>
        <w:jc w:val="center"/>
        <w:rPr>
          <w:b/>
          <w:bCs/>
          <w:sz w:val="28"/>
          <w:szCs w:val="28"/>
        </w:rPr>
      </w:pPr>
      <w:r w:rsidRPr="008E5013">
        <w:rPr>
          <w:b/>
          <w:bCs/>
          <w:sz w:val="28"/>
          <w:szCs w:val="28"/>
        </w:rPr>
        <w:t>Пояснювальна записка до проекту рішення  «Про викладення в новій редакції додатка №1</w:t>
      </w:r>
      <w:r w:rsidR="00B04DCE">
        <w:rPr>
          <w:b/>
          <w:bCs/>
          <w:sz w:val="28"/>
          <w:szCs w:val="28"/>
        </w:rPr>
        <w:t xml:space="preserve"> «</w:t>
      </w:r>
      <w:r w:rsidR="00B04DCE" w:rsidRPr="00B04DCE">
        <w:rPr>
          <w:b/>
          <w:bCs/>
          <w:sz w:val="28"/>
          <w:szCs w:val="28"/>
        </w:rPr>
        <w:t>Про встановлення ставок та пільг із сплати податку на нерухоме майно, відмінне від земельної ділянки</w:t>
      </w:r>
      <w:r w:rsidR="00B04DCE">
        <w:rPr>
          <w:b/>
          <w:bCs/>
          <w:sz w:val="28"/>
          <w:szCs w:val="28"/>
        </w:rPr>
        <w:t>»</w:t>
      </w:r>
      <w:r w:rsidRPr="008E5013">
        <w:rPr>
          <w:b/>
          <w:bCs/>
          <w:sz w:val="28"/>
          <w:szCs w:val="28"/>
        </w:rPr>
        <w:t xml:space="preserve"> до рішення сесії  Тетіївської міської ради </w:t>
      </w:r>
      <w:r w:rsidRPr="008E5013">
        <w:rPr>
          <w:b/>
          <w:bCs/>
          <w:sz w:val="28"/>
          <w:szCs w:val="28"/>
          <w:lang w:val="en-US"/>
        </w:rPr>
        <w:t>VIII</w:t>
      </w:r>
      <w:r w:rsidRPr="008E5013">
        <w:rPr>
          <w:b/>
          <w:bCs/>
          <w:sz w:val="28"/>
          <w:szCs w:val="28"/>
        </w:rPr>
        <w:t xml:space="preserve"> скликання №286-07-VIII від 24.06.2021 р. «Про встановлення місцевих податків та зборів на території Тетіївської міської територіальної громади»</w:t>
      </w:r>
      <w:r w:rsidR="00B04DCE">
        <w:rPr>
          <w:b/>
          <w:bCs/>
          <w:sz w:val="28"/>
          <w:szCs w:val="28"/>
        </w:rPr>
        <w:t>.</w:t>
      </w:r>
    </w:p>
    <w:p w:rsidR="0016463A" w:rsidRDefault="0016463A" w:rsidP="0016463A">
      <w:pPr>
        <w:jc w:val="center"/>
        <w:rPr>
          <w:bCs/>
          <w:sz w:val="28"/>
          <w:szCs w:val="28"/>
        </w:rPr>
      </w:pPr>
    </w:p>
    <w:p w:rsidR="00387720" w:rsidRDefault="00024928" w:rsidP="003877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01.01.2024 року </w:t>
      </w:r>
      <w:r w:rsidR="00387720">
        <w:rPr>
          <w:bCs/>
          <w:sz w:val="28"/>
          <w:szCs w:val="28"/>
        </w:rPr>
        <w:t>набрав чинності</w:t>
      </w:r>
      <w:r>
        <w:rPr>
          <w:bCs/>
          <w:sz w:val="28"/>
          <w:szCs w:val="28"/>
        </w:rPr>
        <w:t xml:space="preserve"> КЛАСИФІКАТОР БУДІВЕЛЬ І СПОРУД НК 018</w:t>
      </w:r>
      <w:r w:rsidRPr="00024928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>2023, затверджений наказом Міністерства економіки України 16.05.2023 року №3573. НК 018</w:t>
      </w:r>
      <w:r w:rsidRPr="00024928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2023 розроблено на заміну ДК 018-2000 та гармонізовано Класифікацією типів споруд </w:t>
      </w:r>
      <w:proofErr w:type="spellStart"/>
      <w:r>
        <w:rPr>
          <w:bCs/>
          <w:sz w:val="28"/>
          <w:szCs w:val="28"/>
        </w:rPr>
        <w:t>Євростату</w:t>
      </w:r>
      <w:proofErr w:type="spellEnd"/>
      <w:r w:rsidR="008E5013">
        <w:rPr>
          <w:bCs/>
          <w:sz w:val="28"/>
          <w:szCs w:val="28"/>
        </w:rPr>
        <w:t>.</w:t>
      </w:r>
    </w:p>
    <w:p w:rsidR="00387720" w:rsidRDefault="008E5013" w:rsidP="003877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листа Головного Управління ДПС у Київській області №4190</w:t>
      </w:r>
      <w:r w:rsidRPr="008E5013">
        <w:rPr>
          <w:bCs/>
          <w:sz w:val="28"/>
          <w:szCs w:val="28"/>
        </w:rPr>
        <w:t>/5/10-36-04-01 в</w:t>
      </w:r>
      <w:r>
        <w:rPr>
          <w:bCs/>
          <w:sz w:val="28"/>
          <w:szCs w:val="28"/>
        </w:rPr>
        <w:t>ід 29.02.2024 року, для уникнення проблемних питань у визначені об</w:t>
      </w:r>
      <w:r w:rsidRPr="008E5013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єктів оподаткування платниками податку, </w:t>
      </w:r>
      <w:r w:rsidR="00E775AE">
        <w:rPr>
          <w:bCs/>
          <w:sz w:val="28"/>
          <w:szCs w:val="28"/>
        </w:rPr>
        <w:t xml:space="preserve">ДПС </w:t>
      </w:r>
      <w:r>
        <w:rPr>
          <w:bCs/>
          <w:sz w:val="28"/>
          <w:szCs w:val="28"/>
        </w:rPr>
        <w:t>звертає увагу на необхідність прийняття рішень про встановлення місцевих податків і зборів на 2025 рік з урахуванням Класифікатора будівель та споруд НК 018</w:t>
      </w:r>
      <w:r w:rsidRPr="008E5013">
        <w:rPr>
          <w:bCs/>
          <w:sz w:val="28"/>
          <w:szCs w:val="28"/>
        </w:rPr>
        <w:t>:2023</w:t>
      </w:r>
      <w:r>
        <w:rPr>
          <w:bCs/>
          <w:sz w:val="28"/>
          <w:szCs w:val="28"/>
        </w:rPr>
        <w:t>.</w:t>
      </w:r>
    </w:p>
    <w:p w:rsidR="00BE11B2" w:rsidRDefault="008A251F" w:rsidP="00BE11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Разом з тим, відповідно </w:t>
      </w:r>
      <w:r w:rsidR="00B94693">
        <w:rPr>
          <w:bCs/>
          <w:sz w:val="28"/>
          <w:szCs w:val="28"/>
        </w:rPr>
        <w:t>до ст</w:t>
      </w:r>
      <w:r w:rsidR="005C3DAC">
        <w:rPr>
          <w:bCs/>
          <w:sz w:val="28"/>
          <w:szCs w:val="28"/>
        </w:rPr>
        <w:t xml:space="preserve">атті </w:t>
      </w:r>
      <w:r w:rsidR="00B94693">
        <w:rPr>
          <w:bCs/>
          <w:sz w:val="28"/>
          <w:szCs w:val="28"/>
        </w:rPr>
        <w:t>12 ПКУ міські ради в межах своїх повноважень приймають рішення про встановлення місцевих податків і зборів до 15 липня року, що передує бюджетному періоду, в якому планується застосування встановлених місцевих податків та зборів, та про внесення змін до таких рішень.</w:t>
      </w:r>
    </w:p>
    <w:p w:rsidR="00BE11B2" w:rsidRDefault="00724450" w:rsidP="00BE11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Даний проект рішення є регуляторним актом, який був ви</w:t>
      </w:r>
      <w:r w:rsidR="00092632">
        <w:rPr>
          <w:bCs/>
          <w:sz w:val="28"/>
          <w:szCs w:val="28"/>
        </w:rPr>
        <w:t>ставлений на місячне обговорення на офіційному сайті Тетіївської міської ради. Заяв та пропозицій від юридичних та фізичних осіб, щодо даного регуляторного акту до розробника (управління фінансів) не надходило.</w:t>
      </w:r>
    </w:p>
    <w:p w:rsidR="005C3DAC" w:rsidRDefault="009C63D0" w:rsidP="005C3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ст</w:t>
      </w:r>
      <w:r w:rsidR="005C3DAC">
        <w:rPr>
          <w:bCs/>
          <w:sz w:val="28"/>
          <w:szCs w:val="28"/>
        </w:rPr>
        <w:t xml:space="preserve">атті </w:t>
      </w:r>
      <w:r>
        <w:rPr>
          <w:bCs/>
          <w:sz w:val="28"/>
          <w:szCs w:val="28"/>
        </w:rPr>
        <w:t>266.5.1 ПКУ с</w:t>
      </w:r>
      <w:r w:rsidRPr="009C63D0">
        <w:rPr>
          <w:bCs/>
          <w:sz w:val="28"/>
          <w:szCs w:val="28"/>
        </w:rPr>
        <w:t>тавки пода</w:t>
      </w:r>
      <w:r>
        <w:rPr>
          <w:bCs/>
          <w:sz w:val="28"/>
          <w:szCs w:val="28"/>
        </w:rPr>
        <w:t>тку для об’єктів житлової та</w:t>
      </w:r>
      <w:r w:rsidRPr="009C63D0">
        <w:rPr>
          <w:bCs/>
          <w:sz w:val="28"/>
          <w:szCs w:val="28"/>
        </w:rPr>
        <w:t xml:space="preserve"> нежитлової нерухомості, що перебувають у власності фізичних та юридичних осіб, встановлюються з</w:t>
      </w:r>
      <w:r>
        <w:rPr>
          <w:bCs/>
          <w:sz w:val="28"/>
          <w:szCs w:val="28"/>
        </w:rPr>
        <w:t xml:space="preserve">а рішенням </w:t>
      </w:r>
      <w:r w:rsidRPr="009C63D0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рад</w:t>
      </w:r>
      <w:r w:rsidR="005C3DAC">
        <w:rPr>
          <w:bCs/>
          <w:sz w:val="28"/>
          <w:szCs w:val="28"/>
        </w:rPr>
        <w:t>и</w:t>
      </w:r>
      <w:r w:rsidRPr="009C63D0">
        <w:rPr>
          <w:bCs/>
          <w:sz w:val="28"/>
          <w:szCs w:val="28"/>
        </w:rPr>
        <w:t>, що не перевищує 1,5 відсотка розміру мінімальної заробітної плати, встановленої законом на 1 січня звітного (податко</w:t>
      </w:r>
      <w:r w:rsidR="00B04DCE">
        <w:rPr>
          <w:bCs/>
          <w:sz w:val="28"/>
          <w:szCs w:val="28"/>
        </w:rPr>
        <w:t xml:space="preserve">вого) року, за 1 </w:t>
      </w:r>
      <w:proofErr w:type="spellStart"/>
      <w:r w:rsidR="00B04DCE">
        <w:rPr>
          <w:bCs/>
          <w:sz w:val="28"/>
          <w:szCs w:val="28"/>
        </w:rPr>
        <w:t>кв</w:t>
      </w:r>
      <w:proofErr w:type="spellEnd"/>
      <w:r w:rsidR="00B04DCE">
        <w:rPr>
          <w:bCs/>
          <w:sz w:val="28"/>
          <w:szCs w:val="28"/>
        </w:rPr>
        <w:t>.</w:t>
      </w:r>
      <w:r w:rsidR="005C3DAC">
        <w:rPr>
          <w:bCs/>
          <w:sz w:val="28"/>
          <w:szCs w:val="28"/>
        </w:rPr>
        <w:t xml:space="preserve"> </w:t>
      </w:r>
      <w:r w:rsidR="00B04DCE">
        <w:rPr>
          <w:bCs/>
          <w:sz w:val="28"/>
          <w:szCs w:val="28"/>
        </w:rPr>
        <w:t xml:space="preserve">м. </w:t>
      </w:r>
      <w:r w:rsidRPr="009C63D0">
        <w:rPr>
          <w:bCs/>
          <w:sz w:val="28"/>
          <w:szCs w:val="28"/>
        </w:rPr>
        <w:t>бази оподаткування.</w:t>
      </w:r>
      <w:r>
        <w:rPr>
          <w:bCs/>
          <w:sz w:val="28"/>
          <w:szCs w:val="28"/>
        </w:rPr>
        <w:t xml:space="preserve"> </w:t>
      </w:r>
      <w:r w:rsidR="00B04DCE">
        <w:rPr>
          <w:bCs/>
          <w:sz w:val="28"/>
          <w:szCs w:val="28"/>
        </w:rPr>
        <w:t>Відповідно прогнозу</w:t>
      </w:r>
      <w:r w:rsidR="005C3DAC">
        <w:rPr>
          <w:bCs/>
          <w:sz w:val="28"/>
          <w:szCs w:val="28"/>
        </w:rPr>
        <w:t xml:space="preserve"> розмір</w:t>
      </w:r>
      <w:r w:rsidR="00B04DCE">
        <w:rPr>
          <w:bCs/>
          <w:sz w:val="28"/>
          <w:szCs w:val="28"/>
        </w:rPr>
        <w:t xml:space="preserve"> мінімальної заробітної плати на 01.01.25 р. буде 8900 грн., мінімальна ставка на нерухомість </w:t>
      </w:r>
      <w:r w:rsidR="005C3DAC">
        <w:rPr>
          <w:bCs/>
          <w:sz w:val="28"/>
          <w:szCs w:val="28"/>
        </w:rPr>
        <w:t>становитиме</w:t>
      </w:r>
      <w:r w:rsidR="00B04DCE">
        <w:rPr>
          <w:bCs/>
          <w:sz w:val="28"/>
          <w:szCs w:val="28"/>
        </w:rPr>
        <w:t xml:space="preserve"> - 9 грн, максимальн</w:t>
      </w:r>
      <w:r w:rsidR="005C3DAC">
        <w:rPr>
          <w:bCs/>
          <w:sz w:val="28"/>
          <w:szCs w:val="28"/>
        </w:rPr>
        <w:t xml:space="preserve">а ставка – 133 грн, за 1 </w:t>
      </w:r>
      <w:proofErr w:type="spellStart"/>
      <w:r w:rsidR="005C3DAC">
        <w:rPr>
          <w:bCs/>
          <w:sz w:val="28"/>
          <w:szCs w:val="28"/>
        </w:rPr>
        <w:t>кв</w:t>
      </w:r>
      <w:proofErr w:type="spellEnd"/>
      <w:r w:rsidR="005C3DAC">
        <w:rPr>
          <w:bCs/>
          <w:sz w:val="28"/>
          <w:szCs w:val="28"/>
        </w:rPr>
        <w:t>. м.</w:t>
      </w:r>
    </w:p>
    <w:p w:rsidR="00092632" w:rsidRPr="004315D5" w:rsidRDefault="00092632" w:rsidP="005C3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2023 рік до місцевого бюджету Тетіївської міської територіальної громади надійшло податку на нерухоме майно, відмінне від земельної ділянки </w:t>
      </w:r>
      <w:r w:rsidR="004315D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315D5" w:rsidRPr="00A62041">
        <w:rPr>
          <w:b/>
          <w:bCs/>
          <w:sz w:val="28"/>
          <w:szCs w:val="28"/>
        </w:rPr>
        <w:t>3 759 219 грн</w:t>
      </w:r>
      <w:r w:rsidR="005C3DAC">
        <w:rPr>
          <w:b/>
          <w:bCs/>
          <w:sz w:val="28"/>
          <w:szCs w:val="28"/>
        </w:rPr>
        <w:t>.</w:t>
      </w:r>
      <w:r w:rsidR="004315D5">
        <w:rPr>
          <w:bCs/>
          <w:sz w:val="28"/>
          <w:szCs w:val="28"/>
        </w:rPr>
        <w:t xml:space="preserve">, що становить 2% власних надходжень загального фонду бюджету за 2023 рік, в </w:t>
      </w:r>
      <w:proofErr w:type="spellStart"/>
      <w:r w:rsidR="004315D5">
        <w:rPr>
          <w:bCs/>
          <w:sz w:val="28"/>
          <w:szCs w:val="28"/>
        </w:rPr>
        <w:t>т.ч</w:t>
      </w:r>
      <w:proofErr w:type="spellEnd"/>
      <w:r w:rsidR="004315D5" w:rsidRPr="004315D5">
        <w:rPr>
          <w:bCs/>
          <w:sz w:val="28"/>
          <w:szCs w:val="28"/>
        </w:rPr>
        <w:t>:</w:t>
      </w:r>
    </w:p>
    <w:p w:rsidR="004315D5" w:rsidRPr="004315D5" w:rsidRDefault="004315D5" w:rsidP="004315D5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житлова</w:t>
      </w:r>
      <w:r w:rsidR="00E24FB7">
        <w:rPr>
          <w:bCs/>
          <w:sz w:val="28"/>
          <w:szCs w:val="28"/>
        </w:rPr>
        <w:t xml:space="preserve"> нерухомість фізичних осіб (372</w:t>
      </w:r>
      <w:r>
        <w:rPr>
          <w:bCs/>
          <w:sz w:val="28"/>
          <w:szCs w:val="28"/>
        </w:rPr>
        <w:t xml:space="preserve"> платників) – 393 937 грн</w:t>
      </w:r>
      <w:r w:rsidRPr="004315D5">
        <w:rPr>
          <w:bCs/>
          <w:sz w:val="28"/>
          <w:szCs w:val="28"/>
          <w:lang w:val="ru-RU"/>
        </w:rPr>
        <w:t>;</w:t>
      </w:r>
    </w:p>
    <w:p w:rsidR="004315D5" w:rsidRPr="004315D5" w:rsidRDefault="004315D5" w:rsidP="004315D5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нежитлова</w:t>
      </w:r>
      <w:r w:rsidR="00993084">
        <w:rPr>
          <w:bCs/>
          <w:sz w:val="28"/>
          <w:szCs w:val="28"/>
        </w:rPr>
        <w:t xml:space="preserve"> нерухомість фізичних осіб (154</w:t>
      </w:r>
      <w:r>
        <w:rPr>
          <w:bCs/>
          <w:sz w:val="28"/>
          <w:szCs w:val="28"/>
        </w:rPr>
        <w:t xml:space="preserve"> платників) – 1 766 932 грн</w:t>
      </w:r>
      <w:r w:rsidRPr="004315D5">
        <w:rPr>
          <w:bCs/>
          <w:sz w:val="28"/>
          <w:szCs w:val="28"/>
          <w:lang w:val="ru-RU"/>
        </w:rPr>
        <w:t>;</w:t>
      </w:r>
    </w:p>
    <w:p w:rsidR="004315D5" w:rsidRPr="00A62041" w:rsidRDefault="00A62041" w:rsidP="004315D5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житлова </w:t>
      </w:r>
      <w:r w:rsidR="003519C3">
        <w:rPr>
          <w:bCs/>
          <w:sz w:val="28"/>
          <w:szCs w:val="28"/>
        </w:rPr>
        <w:t>нерухомість юридичних осіб (10</w:t>
      </w:r>
      <w:r>
        <w:rPr>
          <w:bCs/>
          <w:sz w:val="28"/>
          <w:szCs w:val="28"/>
        </w:rPr>
        <w:t xml:space="preserve"> платників ) – 57 169 грн</w:t>
      </w:r>
      <w:r w:rsidRPr="00A62041">
        <w:rPr>
          <w:bCs/>
          <w:sz w:val="28"/>
          <w:szCs w:val="28"/>
          <w:lang w:val="ru-RU"/>
        </w:rPr>
        <w:t>;</w:t>
      </w:r>
    </w:p>
    <w:p w:rsidR="005C3DAC" w:rsidRPr="005C3DAC" w:rsidRDefault="00A62041" w:rsidP="002741A4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нежитлова </w:t>
      </w:r>
      <w:r w:rsidR="009156D4">
        <w:rPr>
          <w:bCs/>
          <w:sz w:val="28"/>
          <w:szCs w:val="28"/>
        </w:rPr>
        <w:t>нерухомість юридичних осіб (43</w:t>
      </w:r>
      <w:r>
        <w:rPr>
          <w:bCs/>
          <w:sz w:val="28"/>
          <w:szCs w:val="28"/>
        </w:rPr>
        <w:t xml:space="preserve"> платників) – 1 551 180 грн</w:t>
      </w:r>
      <w:r w:rsidR="005C3DAC">
        <w:rPr>
          <w:bCs/>
          <w:sz w:val="28"/>
          <w:szCs w:val="28"/>
        </w:rPr>
        <w:t>.</w:t>
      </w:r>
    </w:p>
    <w:p w:rsidR="00B04DCE" w:rsidRPr="005C3DAC" w:rsidRDefault="00B04DCE" w:rsidP="005C3DAC">
      <w:pPr>
        <w:ind w:firstLine="709"/>
        <w:jc w:val="both"/>
        <w:rPr>
          <w:bCs/>
          <w:sz w:val="28"/>
          <w:szCs w:val="28"/>
        </w:rPr>
      </w:pPr>
      <w:r w:rsidRPr="005C3DAC">
        <w:rPr>
          <w:bCs/>
          <w:sz w:val="28"/>
          <w:szCs w:val="28"/>
        </w:rPr>
        <w:t xml:space="preserve">Проект рішення «Про викладення в новій редакції додатка №1 «Про встановлення ставок та пільг із сплати податку на нерухоме майно, відмінне від земельної ділянки» </w:t>
      </w:r>
      <w:r w:rsidR="00E605BD" w:rsidRPr="005C3DAC">
        <w:rPr>
          <w:b/>
          <w:bCs/>
          <w:sz w:val="28"/>
          <w:szCs w:val="28"/>
        </w:rPr>
        <w:t xml:space="preserve">не передбачає суттєвих змін від діючих ставок, </w:t>
      </w:r>
      <w:r w:rsidR="00E605BD" w:rsidRPr="005C3DAC">
        <w:rPr>
          <w:bCs/>
          <w:sz w:val="28"/>
          <w:szCs w:val="28"/>
        </w:rPr>
        <w:t>та під час збройної агресією російською фед</w:t>
      </w:r>
      <w:r w:rsidR="005C3DAC">
        <w:rPr>
          <w:bCs/>
          <w:sz w:val="28"/>
          <w:szCs w:val="28"/>
        </w:rPr>
        <w:t>е</w:t>
      </w:r>
      <w:r w:rsidR="00E605BD" w:rsidRPr="005C3DAC">
        <w:rPr>
          <w:bCs/>
          <w:sz w:val="28"/>
          <w:szCs w:val="28"/>
        </w:rPr>
        <w:t xml:space="preserve">рацією даним проектом пропонується </w:t>
      </w:r>
      <w:r w:rsidR="00E605BD" w:rsidRPr="005C3DAC">
        <w:rPr>
          <w:bCs/>
          <w:sz w:val="28"/>
          <w:szCs w:val="28"/>
        </w:rPr>
        <w:lastRenderedPageBreak/>
        <w:t>ввести ряд пільг</w:t>
      </w:r>
      <w:r w:rsidR="002741A4" w:rsidRPr="005C3DAC">
        <w:rPr>
          <w:bCs/>
          <w:sz w:val="28"/>
          <w:szCs w:val="28"/>
        </w:rPr>
        <w:t>:</w:t>
      </w:r>
      <w:r w:rsidR="00E605BD" w:rsidRPr="005C3DAC">
        <w:rPr>
          <w:bCs/>
          <w:sz w:val="28"/>
          <w:szCs w:val="28"/>
        </w:rPr>
        <w:t xml:space="preserve"> для</w:t>
      </w:r>
      <w:r w:rsidR="002741A4" w:rsidRPr="005C3DAC">
        <w:rPr>
          <w:bCs/>
          <w:sz w:val="28"/>
          <w:szCs w:val="28"/>
        </w:rPr>
        <w:t xml:space="preserve"> інвалідів першої і другої групи, </w:t>
      </w:r>
      <w:r w:rsidR="005C3DAC">
        <w:rPr>
          <w:bCs/>
          <w:sz w:val="28"/>
          <w:szCs w:val="28"/>
        </w:rPr>
        <w:t>осіб</w:t>
      </w:r>
      <w:r w:rsidR="00A419A5">
        <w:rPr>
          <w:bCs/>
          <w:sz w:val="28"/>
          <w:szCs w:val="28"/>
        </w:rPr>
        <w:t xml:space="preserve"> в </w:t>
      </w:r>
      <w:r w:rsidR="002741A4" w:rsidRPr="005C3DAC">
        <w:rPr>
          <w:bCs/>
          <w:sz w:val="28"/>
          <w:szCs w:val="28"/>
        </w:rPr>
        <w:t>яких на утриманні тро</w:t>
      </w:r>
      <w:r w:rsidR="005C3DAC">
        <w:rPr>
          <w:bCs/>
          <w:sz w:val="28"/>
          <w:szCs w:val="28"/>
        </w:rPr>
        <w:t>є</w:t>
      </w:r>
      <w:r w:rsidR="002741A4" w:rsidRPr="005C3DAC">
        <w:rPr>
          <w:bCs/>
          <w:sz w:val="28"/>
          <w:szCs w:val="28"/>
        </w:rPr>
        <w:t xml:space="preserve"> і більше дітей віком до 18 років та</w:t>
      </w:r>
      <w:r w:rsidR="00A419A5">
        <w:rPr>
          <w:bCs/>
          <w:sz w:val="28"/>
          <w:szCs w:val="28"/>
        </w:rPr>
        <w:t xml:space="preserve"> малозабезпечені, пенсіонерів</w:t>
      </w:r>
      <w:r w:rsidR="002741A4" w:rsidRPr="005C3DAC">
        <w:rPr>
          <w:bCs/>
          <w:sz w:val="28"/>
          <w:szCs w:val="28"/>
        </w:rPr>
        <w:t xml:space="preserve"> (за віком), ветеран</w:t>
      </w:r>
      <w:r w:rsidR="00A419A5">
        <w:rPr>
          <w:bCs/>
          <w:sz w:val="28"/>
          <w:szCs w:val="28"/>
        </w:rPr>
        <w:t>ів</w:t>
      </w:r>
      <w:r w:rsidR="002741A4" w:rsidRPr="005C3DAC">
        <w:rPr>
          <w:bCs/>
          <w:sz w:val="28"/>
          <w:szCs w:val="28"/>
        </w:rPr>
        <w:t xml:space="preserve"> війни, праці та ос</w:t>
      </w:r>
      <w:r w:rsidR="00A419A5">
        <w:rPr>
          <w:bCs/>
          <w:sz w:val="28"/>
          <w:szCs w:val="28"/>
        </w:rPr>
        <w:t>іб</w:t>
      </w:r>
      <w:r w:rsidR="002741A4" w:rsidRPr="005C3DAC">
        <w:rPr>
          <w:bCs/>
          <w:sz w:val="28"/>
          <w:szCs w:val="28"/>
        </w:rPr>
        <w:t>, на яких пошир</w:t>
      </w:r>
      <w:r w:rsidR="005C3DAC">
        <w:rPr>
          <w:bCs/>
          <w:sz w:val="28"/>
          <w:szCs w:val="28"/>
        </w:rPr>
        <w:t>ю</w:t>
      </w:r>
      <w:r w:rsidR="002741A4" w:rsidRPr="005C3DAC">
        <w:rPr>
          <w:bCs/>
          <w:sz w:val="28"/>
          <w:szCs w:val="28"/>
        </w:rPr>
        <w:t>ється дія Закону України «Про статус ветеранів війни, гарантії їх соціального захисту», ос</w:t>
      </w:r>
      <w:r w:rsidR="00A419A5">
        <w:rPr>
          <w:bCs/>
          <w:sz w:val="28"/>
          <w:szCs w:val="28"/>
        </w:rPr>
        <w:t>і</w:t>
      </w:r>
      <w:r w:rsidR="002741A4" w:rsidRPr="005C3DAC">
        <w:rPr>
          <w:bCs/>
          <w:sz w:val="28"/>
          <w:szCs w:val="28"/>
        </w:rPr>
        <w:t>б які постраждали внаслідок Чорнобильської катастрофи.</w:t>
      </w:r>
      <w:r w:rsidR="00E605BD" w:rsidRPr="005C3DAC">
        <w:rPr>
          <w:bCs/>
          <w:sz w:val="28"/>
          <w:szCs w:val="28"/>
        </w:rPr>
        <w:t xml:space="preserve"> </w:t>
      </w:r>
    </w:p>
    <w:p w:rsidR="002F45EA" w:rsidRPr="005C3DAC" w:rsidRDefault="002F45EA" w:rsidP="002741A4">
      <w:pPr>
        <w:jc w:val="both"/>
        <w:rPr>
          <w:bCs/>
          <w:sz w:val="28"/>
          <w:szCs w:val="28"/>
        </w:rPr>
      </w:pPr>
      <w:r w:rsidRPr="005C3DAC">
        <w:rPr>
          <w:bCs/>
          <w:sz w:val="28"/>
          <w:szCs w:val="28"/>
        </w:rPr>
        <w:t xml:space="preserve">   </w:t>
      </w:r>
    </w:p>
    <w:p w:rsidR="002F45EA" w:rsidRDefault="002F45EA" w:rsidP="002F45EA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2F45EA">
        <w:rPr>
          <w:b/>
          <w:bCs/>
          <w:sz w:val="28"/>
          <w:szCs w:val="28"/>
          <w:lang w:val="ru-RU"/>
        </w:rPr>
        <w:t>Порівняння</w:t>
      </w:r>
      <w:proofErr w:type="spellEnd"/>
      <w:r w:rsidRPr="002F45E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F45EA">
        <w:rPr>
          <w:b/>
          <w:bCs/>
          <w:sz w:val="28"/>
          <w:szCs w:val="28"/>
          <w:lang w:val="ru-RU"/>
        </w:rPr>
        <w:t>між</w:t>
      </w:r>
      <w:proofErr w:type="spellEnd"/>
      <w:r w:rsidRPr="002F45E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F45EA">
        <w:rPr>
          <w:b/>
          <w:bCs/>
          <w:sz w:val="28"/>
          <w:szCs w:val="28"/>
          <w:lang w:val="ru-RU"/>
        </w:rPr>
        <w:t>ді</w:t>
      </w:r>
      <w:r w:rsidR="008D1D12">
        <w:rPr>
          <w:b/>
          <w:bCs/>
          <w:sz w:val="28"/>
          <w:szCs w:val="28"/>
          <w:lang w:val="ru-RU"/>
        </w:rPr>
        <w:t>ючими</w:t>
      </w:r>
      <w:proofErr w:type="spellEnd"/>
      <w:r w:rsidR="008D1D12">
        <w:rPr>
          <w:b/>
          <w:bCs/>
          <w:sz w:val="28"/>
          <w:szCs w:val="28"/>
          <w:lang w:val="ru-RU"/>
        </w:rPr>
        <w:t xml:space="preserve"> ставками та проектом</w:t>
      </w:r>
      <w:r w:rsidRPr="002F45E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F45EA">
        <w:rPr>
          <w:b/>
          <w:bCs/>
          <w:sz w:val="28"/>
          <w:szCs w:val="28"/>
          <w:lang w:val="ru-RU"/>
        </w:rPr>
        <w:t>рішення</w:t>
      </w:r>
      <w:proofErr w:type="spellEnd"/>
      <w:r w:rsidRPr="002F45EA">
        <w:rPr>
          <w:b/>
          <w:bCs/>
          <w:sz w:val="28"/>
          <w:szCs w:val="28"/>
          <w:lang w:val="ru-RU"/>
        </w:rPr>
        <w:t xml:space="preserve"> (таб.)</w:t>
      </w:r>
    </w:p>
    <w:p w:rsidR="008502CC" w:rsidRDefault="008502CC" w:rsidP="002F45EA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846"/>
        <w:gridCol w:w="2263"/>
        <w:gridCol w:w="851"/>
        <w:gridCol w:w="992"/>
        <w:gridCol w:w="709"/>
        <w:gridCol w:w="2159"/>
        <w:gridCol w:w="960"/>
        <w:gridCol w:w="850"/>
      </w:tblGrid>
      <w:tr w:rsidR="008502CC" w:rsidRPr="002269E6" w:rsidTr="00A419A5">
        <w:trPr>
          <w:trHeight w:val="131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ДІЮЧІ З  01.01.2022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ПРОЕКТ  01.01.2025</w:t>
            </w:r>
          </w:p>
        </w:tc>
      </w:tr>
      <w:tr w:rsidR="008502CC" w:rsidRPr="002269E6" w:rsidTr="00A419A5">
        <w:trPr>
          <w:trHeight w:val="536"/>
        </w:trPr>
        <w:tc>
          <w:tcPr>
            <w:tcW w:w="3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Державний класифікатор будівель і споруд </w:t>
            </w:r>
          </w:p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ДК 018-2000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ind w:left="-1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Ставки податку</w:t>
            </w:r>
            <w:r w:rsidRPr="002269E6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 за 1 </w:t>
            </w:r>
            <w:proofErr w:type="spellStart"/>
            <w:r w:rsidRPr="002269E6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269E6">
              <w:rPr>
                <w:color w:val="000000"/>
                <w:sz w:val="20"/>
                <w:szCs w:val="20"/>
                <w:lang w:eastAsia="ru-RU"/>
              </w:rPr>
              <w:t>. метр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класифікатору</w:t>
            </w:r>
            <w:proofErr w:type="spellEnd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будівель</w:t>
            </w:r>
            <w:proofErr w:type="spellEnd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споруд</w:t>
            </w:r>
            <w:proofErr w:type="spellEnd"/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НК 018-2023</w:t>
            </w:r>
            <w:r w:rsidRPr="002269E6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Ставки податку</w:t>
            </w:r>
            <w:r w:rsidRPr="002269E6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 за 1 </w:t>
            </w:r>
            <w:proofErr w:type="spellStart"/>
            <w:r w:rsidRPr="002269E6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269E6">
              <w:rPr>
                <w:color w:val="000000"/>
                <w:sz w:val="20"/>
                <w:szCs w:val="20"/>
                <w:lang w:eastAsia="ru-RU"/>
              </w:rPr>
              <w:t>. метр</w:t>
            </w:r>
          </w:p>
        </w:tc>
      </w:tr>
      <w:tr w:rsidR="008502CC" w:rsidRPr="002269E6" w:rsidTr="00A419A5">
        <w:trPr>
          <w:trHeight w:val="586"/>
        </w:trPr>
        <w:tc>
          <w:tcPr>
            <w:tcW w:w="31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(відсотків розміру мінімальної заробітної плати)</w:t>
            </w:r>
          </w:p>
        </w:tc>
        <w:tc>
          <w:tcPr>
            <w:tcW w:w="28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(відсотків розміру мінімальної заробітної плати)</w:t>
            </w:r>
          </w:p>
        </w:tc>
      </w:tr>
      <w:tr w:rsidR="008502CC" w:rsidRPr="002269E6" w:rsidTr="00A419A5">
        <w:trPr>
          <w:cantSplit/>
          <w:trHeight w:val="1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 категорії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502CC" w:rsidRPr="002269E6" w:rsidRDefault="008502CC" w:rsidP="003F31C9">
            <w:pPr>
              <w:ind w:left="113" w:right="-75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</w:p>
          <w:p w:rsidR="008502CC" w:rsidRPr="002269E6" w:rsidRDefault="008502CC" w:rsidP="003F31C9">
            <w:pPr>
              <w:ind w:left="113" w:right="-75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юридичних </w:t>
            </w:r>
          </w:p>
          <w:p w:rsidR="008502CC" w:rsidRPr="002269E6" w:rsidRDefault="008502CC" w:rsidP="003F31C9">
            <w:pPr>
              <w:ind w:left="113" w:right="-75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осіб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</w:p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фізичних</w:t>
            </w:r>
          </w:p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 осіб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Код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 класифікаційної одиниці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</w:p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юридичних осіб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</w:p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фізичних </w:t>
            </w:r>
          </w:p>
          <w:p w:rsidR="008502CC" w:rsidRPr="002269E6" w:rsidRDefault="008502CC" w:rsidP="003F31C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осіб</w:t>
            </w: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Будинки одноквартирні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Одноквартирні житлові будинки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B5147" w:rsidRPr="002269E6" w:rsidTr="00A419A5">
        <w:trPr>
          <w:trHeight w:val="50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47" w:rsidRPr="002269E6" w:rsidRDefault="002B5147" w:rsidP="002B51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1110.1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47" w:rsidRPr="002269E6" w:rsidRDefault="002B5147" w:rsidP="002B51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одноквартирні масової забудови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47" w:rsidRPr="002269E6" w:rsidRDefault="002B5147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47" w:rsidRPr="002269E6" w:rsidRDefault="002B5147" w:rsidP="002B5147">
            <w:pPr>
              <w:ind w:left="-104" w:firstLine="104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B5147" w:rsidRPr="002269E6" w:rsidRDefault="002B5147" w:rsidP="002B514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2B5147" w:rsidRPr="002269E6" w:rsidRDefault="002B5147" w:rsidP="002B514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147" w:rsidRPr="002269E6" w:rsidRDefault="002B5147" w:rsidP="002B514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147" w:rsidRPr="002269E6" w:rsidRDefault="002B5147" w:rsidP="002B514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1110.2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ind w:right="-75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Котеджі та будинки одноквартирні підвищеної комфортності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ind w:left="-104" w:firstLine="104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1110.3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садибного типу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1110.4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дачні та садові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9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Будинки з двома квартирами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Житлові будинки з двома квартирами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502CC" w:rsidRPr="002269E6" w:rsidTr="00A419A5">
        <w:trPr>
          <w:trHeight w:val="40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1121.1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двоквартирні масової забудови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4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1121.2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Котеджі та будинки двоквартирні підвищеної комфортності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0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Будинки з трьома та більше квартирами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Житлові будинки з трьома та більше квартирами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502CC" w:rsidRPr="002269E6" w:rsidTr="00A419A5">
        <w:trPr>
          <w:trHeight w:val="4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1122.1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багатоквартирні масової забудови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3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1122.2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7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1122.3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житлові готельного типу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Гуртожитки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Житлові будинки для колективного проживання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5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Гуртожитки для робітників та службовців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1130.2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Гуртожитки для студентів вищих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4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Гуртожитки для учнів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Будинки-інтернати для людей похилого віку та інвалідів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4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дитини та сирітські будинки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для біженців, притулки для бездомних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3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1130.9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Будинки для колективного проживання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нежитлові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Нежитлові будівлі</w:t>
            </w: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готельні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готельні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Готелі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Мотелі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1211.3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Кемпінги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1211.4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Пансіонати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1211.5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Ресторани та бари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Інші будівлі для тимчасового проживання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Інші будівлі для короткострокового проживання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4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Туристичні бази та гірські притулки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9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Дитячі та сімейні табори відпочинку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Центри та будинки відпочинку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1212.9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Інші</w:t>
            </w: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тимчасового проживання, не класифіковані раніше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офісні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Офісні будівлі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8502CC" w:rsidRPr="002269E6" w:rsidTr="00A419A5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органів державного та місцевого управління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фінансового обслуговування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органів правосуддя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закордонних представництв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Адміністративно-побутові будівлі промислових підприємств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1220.9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конторських та адміністративних цілей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торговельні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оптово-роздрібної торгівлі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02CC" w:rsidRPr="002269E6" w:rsidTr="00A419A5">
        <w:trPr>
          <w:trHeight w:val="30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Торгові центри, універмаги, магазини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8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1230.2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Криті ринки, павільйони та зали для ярмарків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5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Станції технічного обслуговування автомобілів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Їдальні, кафе, закусочні тощо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0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Бази та склади підприємств торгівлі й громадського харчування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побутового обслуговування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1230.9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торговельні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8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Вокзали, аеровокзали, будівлі засобів зв’язку  та пов’язані з ними будівлі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51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Автовокзали та інші будівлі автомобільного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Вокзали та інші будівлі залізничного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міського електротранспорту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Аеровокзали та інші будівлі повітряного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Морські та річкові вокзали, маяки та пов’язані з ними будівлі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станцій підвісних та канатних доріг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12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82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4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1241.9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транспорту та засобів зв'язку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Гаражі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гаражів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Гаражі наземні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Гаражі підземні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Стоянки автомобільні криті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1242.4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Навіси для велосипедів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промислові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Промислові будівлі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8502CC" w:rsidRPr="002269E6" w:rsidTr="00A419A5">
        <w:trPr>
          <w:trHeight w:val="7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1251.1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чорної металургії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хімічної та нафтохімічної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4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легкої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харчової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3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5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10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8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1251.9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Резервуари, </w:t>
            </w:r>
            <w:proofErr w:type="spellStart"/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силоси</w:t>
            </w:r>
            <w:proofErr w:type="spellEnd"/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та склади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Резервуари, </w:t>
            </w:r>
            <w:proofErr w:type="spellStart"/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силоси</w:t>
            </w:r>
            <w:proofErr w:type="spellEnd"/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та склади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5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Резервуари для нафти, нафтопродуктів та газу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Резервуари та ємності інші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9E6">
              <w:rPr>
                <w:color w:val="000000"/>
                <w:sz w:val="20"/>
                <w:szCs w:val="20"/>
                <w:lang w:eastAsia="ru-RU"/>
              </w:rPr>
              <w:t>Силоси</w:t>
            </w:r>
            <w:proofErr w:type="spellEnd"/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 для зерна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9E6">
              <w:rPr>
                <w:color w:val="000000"/>
                <w:sz w:val="20"/>
                <w:szCs w:val="20"/>
                <w:lang w:eastAsia="ru-RU"/>
              </w:rPr>
              <w:t>Силоси</w:t>
            </w:r>
            <w:proofErr w:type="spellEnd"/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 для цементу та інших сипучих матеріалів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Склади спеціальні товарні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Холодильники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Складські майданчики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Склади універсальні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1252.9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Склади та сховища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8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для публічних виступів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громадського дозвілля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47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Театри, кінотеатри та концертні зали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Зали засідань та багатоцільові зали для публічних виступів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1261.3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Цирки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1261.4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Казино, ігорні будинки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1261.5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Музичні та танцювальні зали, дискотеки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1261.9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публічних виступів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Музеї та бібліотеки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музеїв та бібліотек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Музеї та художні галереї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Бібліотеки, книгосховища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Технічні центри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Планетарії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архівів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1262.6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зоологічних та ботанічних садів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8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навчальних та дослідних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закладів освіти та дослідних закладів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7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науково-дослідних та проектно-вишукувальних установ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вищих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шкіл та інших середніх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професійно-технічних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0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дошкільних та позашкільних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81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спеціальних навчальних закладів для дітей з фізичними або розумовими вадами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закладів з фахової перепідготовки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метеорологічних станцій, обсерваторій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1263.9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освітніх та науково-дослідних закладів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лікарень та оздоровчих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закладів охорони здоров'я та соціального захисту населення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7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Лікарні профільні, диспансери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1264.3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9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7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Шпиталі виправних закладів, в'язниць та збройних сил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5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1264.9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Заклади лікувально-профілактичні та оздоровчі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Зали спортивні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Спортивні зали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36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Зали гімнастичні, баскетбольні, волейбольні, тенісні тощо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Басейни криті для плавання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Хокейні та льодові стадіони криті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Манежі легкоатлетичні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1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Тири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2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1265.9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Зали спортивні 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6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сільськогосподарського призначення, лісівництва та рибного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Нежитлові сільськогосподарські будівлі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502CC" w:rsidRPr="002269E6" w:rsidTr="00A419A5">
        <w:trPr>
          <w:trHeight w:val="28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тваринництва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птахівництва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зберігання зерна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силосні та сінажні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5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для садівництва, виноградарства та виноробства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22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тепличного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рибного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6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підприємств лісівництва та звірівництва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2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1271.9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сільськогосподарського призначення інші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для культової та релігійної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Меморіальні та культові будівлі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502CC" w:rsidRPr="002269E6" w:rsidTr="00A419A5">
        <w:trPr>
          <w:trHeight w:val="4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lastRenderedPageBreak/>
              <w:t>1272.1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Церкви, собори, костьоли, мечеті, синагоги тощо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1272.2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Похоронні бюро та ритуальні зали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1272.3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Цвинтарі та крематорії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Пам'ятки історичні та такі, що охороняються державою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Пам'ятки історичні та ті, що охороняються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2CC" w:rsidRPr="002269E6" w:rsidTr="00A419A5">
        <w:trPr>
          <w:trHeight w:val="2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1273.1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Пам'ятки історії та архітектури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7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1273.2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6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1273.3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Меморіали, художньо-декоративні будівлі, статуї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Будівлі інші, не класифіковані раніше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b/>
                <w:bCs/>
                <w:color w:val="000000"/>
                <w:sz w:val="20"/>
                <w:szCs w:val="20"/>
                <w:lang w:eastAsia="ru-RU"/>
              </w:rPr>
              <w:t>Інші будівлі, не класифіковані раніше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1274.1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Казарми збройних сил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1274.2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міліцейських та пожежних служб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9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1274.3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виправних закладів, в'язниць та слідчих ізоляторів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1274.4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Будівлі лазень та </w:t>
            </w:r>
            <w:proofErr w:type="spellStart"/>
            <w:r w:rsidRPr="002269E6">
              <w:rPr>
                <w:color w:val="000000"/>
                <w:sz w:val="20"/>
                <w:szCs w:val="20"/>
                <w:lang w:eastAsia="ru-RU"/>
              </w:rPr>
              <w:t>пралень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251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1274.5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 з облаштування населених пунктів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8502CC" w:rsidRPr="002269E6" w:rsidRDefault="008502CC" w:rsidP="003F31C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02CC" w:rsidRPr="002269E6" w:rsidTr="00A419A5">
        <w:trPr>
          <w:trHeight w:val="4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C" w:rsidRPr="002269E6" w:rsidRDefault="008502CC" w:rsidP="003F31C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 xml:space="preserve">1275.1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Будівлі, що не ввійшли до ц</w:t>
            </w:r>
            <w:r w:rsidR="002B5147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2269E6">
              <w:rPr>
                <w:color w:val="000000"/>
                <w:sz w:val="20"/>
                <w:szCs w:val="20"/>
                <w:lang w:eastAsia="ru-RU"/>
              </w:rPr>
              <w:t>ого переліку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2B514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CC" w:rsidRPr="002269E6" w:rsidRDefault="008502CC" w:rsidP="003F31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9E6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</w:tbl>
    <w:p w:rsidR="009D4CA4" w:rsidRDefault="009D4CA4" w:rsidP="00A419A5"/>
    <w:p w:rsidR="003F31C9" w:rsidRDefault="003F31C9" w:rsidP="00A419A5"/>
    <w:p w:rsidR="003F31C9" w:rsidRPr="003F31C9" w:rsidRDefault="003F31C9" w:rsidP="00A419A5">
      <w:pPr>
        <w:rPr>
          <w:sz w:val="28"/>
          <w:szCs w:val="28"/>
        </w:rPr>
      </w:pPr>
      <w:r>
        <w:t xml:space="preserve">    </w:t>
      </w:r>
      <w:r w:rsidRPr="003F31C9">
        <w:rPr>
          <w:sz w:val="28"/>
          <w:szCs w:val="28"/>
        </w:rPr>
        <w:t xml:space="preserve">Начальник управління фінансів              </w:t>
      </w:r>
      <w:r>
        <w:rPr>
          <w:sz w:val="28"/>
          <w:szCs w:val="28"/>
        </w:rPr>
        <w:t xml:space="preserve">                   </w:t>
      </w:r>
      <w:r w:rsidRPr="003F31C9">
        <w:rPr>
          <w:sz w:val="28"/>
          <w:szCs w:val="28"/>
        </w:rPr>
        <w:t xml:space="preserve">     Віктор ЗАТИШНИЙ</w:t>
      </w:r>
      <w:bookmarkStart w:id="0" w:name="_GoBack"/>
      <w:bookmarkEnd w:id="0"/>
    </w:p>
    <w:sectPr w:rsidR="003F31C9" w:rsidRPr="003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70A1"/>
    <w:multiLevelType w:val="hybridMultilevel"/>
    <w:tmpl w:val="A6F8E488"/>
    <w:lvl w:ilvl="0" w:tplc="61708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7"/>
    <w:rsid w:val="00024928"/>
    <w:rsid w:val="00092632"/>
    <w:rsid w:val="00123723"/>
    <w:rsid w:val="0016463A"/>
    <w:rsid w:val="002741A4"/>
    <w:rsid w:val="002B5147"/>
    <w:rsid w:val="002F45EA"/>
    <w:rsid w:val="00320717"/>
    <w:rsid w:val="003519C3"/>
    <w:rsid w:val="00387720"/>
    <w:rsid w:val="003F31C9"/>
    <w:rsid w:val="004315D5"/>
    <w:rsid w:val="005C3DAC"/>
    <w:rsid w:val="005F7534"/>
    <w:rsid w:val="006B2E04"/>
    <w:rsid w:val="006D137E"/>
    <w:rsid w:val="00724450"/>
    <w:rsid w:val="008502CC"/>
    <w:rsid w:val="008A251F"/>
    <w:rsid w:val="008D1D12"/>
    <w:rsid w:val="008E5013"/>
    <w:rsid w:val="009156D4"/>
    <w:rsid w:val="00993084"/>
    <w:rsid w:val="009C63D0"/>
    <w:rsid w:val="009D4CA4"/>
    <w:rsid w:val="00A419A5"/>
    <w:rsid w:val="00A62041"/>
    <w:rsid w:val="00B04DCE"/>
    <w:rsid w:val="00B94693"/>
    <w:rsid w:val="00BE11B2"/>
    <w:rsid w:val="00C45780"/>
    <w:rsid w:val="00E24FB7"/>
    <w:rsid w:val="00E605BD"/>
    <w:rsid w:val="00E775AE"/>
    <w:rsid w:val="00EF2CDB"/>
    <w:rsid w:val="00F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85F7"/>
  <w15:chartTrackingRefBased/>
  <w15:docId w15:val="{39070229-84F4-4287-B0D7-7B5DA4D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D5"/>
    <w:pPr>
      <w:ind w:left="720"/>
      <w:contextualSpacing/>
    </w:pPr>
  </w:style>
  <w:style w:type="table" w:styleId="a4">
    <w:name w:val="Table Grid"/>
    <w:basedOn w:val="a1"/>
    <w:rsid w:val="008D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502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3F31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F31C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1625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2024-05-23T08:41:00Z</cp:lastPrinted>
  <dcterms:created xsi:type="dcterms:W3CDTF">2024-05-22T10:28:00Z</dcterms:created>
  <dcterms:modified xsi:type="dcterms:W3CDTF">2024-05-23T08:44:00Z</dcterms:modified>
</cp:coreProperties>
</file>