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29" w:rsidRPr="00FB608D" w:rsidRDefault="00FB608D" w:rsidP="00FB608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ЧЕТВЕРТА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66159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66159F" w:rsidRDefault="0066159F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996775">
        <w:rPr>
          <w:b/>
          <w:bCs/>
          <w:sz w:val="32"/>
          <w:szCs w:val="32"/>
          <w:lang w:eastAsia="en-US"/>
        </w:rPr>
        <w:t xml:space="preserve">                            </w:t>
      </w:r>
      <w:r w:rsidR="00070F29">
        <w:rPr>
          <w:b/>
          <w:bCs/>
          <w:sz w:val="32"/>
          <w:szCs w:val="32"/>
          <w:lang w:val="uk-UA" w:eastAsia="en-US"/>
        </w:rPr>
        <w:t xml:space="preserve">    </w:t>
      </w:r>
      <w:r w:rsidR="00AB4B3F">
        <w:rPr>
          <w:b/>
          <w:bCs/>
          <w:sz w:val="32"/>
          <w:szCs w:val="32"/>
          <w:lang w:val="uk-UA" w:eastAsia="en-US"/>
        </w:rPr>
        <w:t xml:space="preserve">       </w:t>
      </w:r>
      <w:r w:rsidR="001C22C4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2F719D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22 </w:t>
      </w:r>
      <w:proofErr w:type="spellStart"/>
      <w:proofErr w:type="gramStart"/>
      <w:r w:rsidR="00996775">
        <w:rPr>
          <w:rFonts w:eastAsia="Calibri"/>
          <w:sz w:val="28"/>
          <w:szCs w:val="28"/>
          <w:lang w:eastAsia="en-US"/>
        </w:rPr>
        <w:t>грудня</w:t>
      </w:r>
      <w:proofErr w:type="spellEnd"/>
      <w:r w:rsidR="00E06D7B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 w:rsidR="00FB608D">
        <w:rPr>
          <w:sz w:val="32"/>
          <w:szCs w:val="32"/>
          <w:lang w:eastAsia="en-US"/>
        </w:rPr>
        <w:t xml:space="preserve"> </w:t>
      </w:r>
      <w:r w:rsidR="00AB4B3F">
        <w:rPr>
          <w:sz w:val="32"/>
          <w:szCs w:val="32"/>
          <w:lang w:eastAsia="en-US"/>
        </w:rPr>
        <w:t>1138</w:t>
      </w:r>
      <w:r w:rsidR="00FB608D">
        <w:rPr>
          <w:sz w:val="32"/>
          <w:szCs w:val="32"/>
          <w:lang w:eastAsia="en-US"/>
        </w:rPr>
        <w:t>- 24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FB608D" w:rsidRDefault="00E364C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E2604">
        <w:rPr>
          <w:b/>
          <w:sz w:val="28"/>
          <w:szCs w:val="28"/>
          <w:lang w:val="uk-UA"/>
        </w:rPr>
        <w:t>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797341">
        <w:rPr>
          <w:b/>
          <w:sz w:val="28"/>
          <w:szCs w:val="28"/>
          <w:lang w:val="uk-UA"/>
        </w:rPr>
        <w:t>поновлення договорів</w:t>
      </w:r>
    </w:p>
    <w:p w:rsidR="001E2604" w:rsidRDefault="0079734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</w:t>
      </w:r>
      <w:r w:rsidR="000262E7" w:rsidRPr="000F11AA">
        <w:rPr>
          <w:b/>
          <w:sz w:val="28"/>
          <w:szCs w:val="28"/>
          <w:lang w:val="uk-UA"/>
        </w:rPr>
        <w:t>ренди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земельних </w:t>
      </w:r>
      <w:r w:rsidR="00E364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ділянок</w:t>
      </w:r>
      <w:r w:rsidR="000262E7" w:rsidRPr="000F11AA">
        <w:rPr>
          <w:b/>
          <w:sz w:val="28"/>
          <w:szCs w:val="28"/>
          <w:lang w:val="uk-UA"/>
        </w:rPr>
        <w:t xml:space="preserve">, </w:t>
      </w:r>
    </w:p>
    <w:p w:rsidR="00797341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5D0B">
        <w:rPr>
          <w:b/>
          <w:sz w:val="28"/>
          <w:szCs w:val="28"/>
          <w:lang w:val="uk-UA"/>
        </w:rPr>
        <w:t>які розташовані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797341">
        <w:rPr>
          <w:sz w:val="28"/>
          <w:szCs w:val="28"/>
          <w:lang w:val="uk-UA"/>
        </w:rPr>
        <w:t xml:space="preserve">заяви </w:t>
      </w:r>
      <w:proofErr w:type="spellStart"/>
      <w:r w:rsidR="00797341">
        <w:rPr>
          <w:sz w:val="28"/>
          <w:szCs w:val="28"/>
          <w:lang w:val="uk-UA"/>
        </w:rPr>
        <w:t>Дячука</w:t>
      </w:r>
      <w:proofErr w:type="spellEnd"/>
      <w:r w:rsidR="00797341">
        <w:rPr>
          <w:sz w:val="28"/>
          <w:szCs w:val="28"/>
          <w:lang w:val="uk-UA"/>
        </w:rPr>
        <w:t xml:space="preserve"> В.М., Моргуна В.В., Плавун К.Д.,</w:t>
      </w:r>
      <w:r w:rsidR="00996775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</w:t>
      </w:r>
      <w:r w:rsidR="00797341">
        <w:rPr>
          <w:sz w:val="28"/>
          <w:szCs w:val="28"/>
          <w:lang w:val="uk-UA"/>
        </w:rPr>
        <w:t xml:space="preserve"> </w:t>
      </w:r>
      <w:r w:rsidR="002E226E" w:rsidRPr="000F11AA">
        <w:rPr>
          <w:sz w:val="28"/>
          <w:szCs w:val="28"/>
          <w:lang w:val="uk-UA"/>
        </w:rPr>
        <w:t xml:space="preserve">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964CB" w:rsidRPr="00FB608D" w:rsidRDefault="004964CB" w:rsidP="00FB608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64CB" w:rsidRPr="004E622F" w:rsidRDefault="001D53F2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="004964CB" w:rsidRPr="004E622F">
        <w:rPr>
          <w:rFonts w:eastAsia="Calibri"/>
          <w:sz w:val="28"/>
          <w:szCs w:val="22"/>
          <w:lang w:val="uk-UA" w:eastAsia="en-US"/>
        </w:rPr>
        <w:t>.</w:t>
      </w:r>
      <w:r w:rsidR="004964CB" w:rsidRPr="004E622F">
        <w:rPr>
          <w:rFonts w:eastAsia="Calibri"/>
          <w:b/>
          <w:sz w:val="28"/>
          <w:szCs w:val="22"/>
          <w:lang w:val="uk-UA" w:eastAsia="en-US"/>
        </w:rPr>
        <w:t>П</w:t>
      </w:r>
      <w:r w:rsidR="005B2F72">
        <w:rPr>
          <w:rFonts w:eastAsia="Calibri"/>
          <w:b/>
          <w:sz w:val="28"/>
          <w:szCs w:val="22"/>
          <w:lang w:val="uk-UA" w:eastAsia="en-US"/>
        </w:rPr>
        <w:t xml:space="preserve">оновити </w:t>
      </w:r>
      <w:r w:rsidR="00220532">
        <w:rPr>
          <w:rFonts w:eastAsia="Calibri"/>
          <w:b/>
          <w:sz w:val="28"/>
          <w:szCs w:val="22"/>
          <w:lang w:val="uk-UA" w:eastAsia="en-US"/>
        </w:rPr>
        <w:t>договір оренди земельної ділянки</w:t>
      </w:r>
      <w:r w:rsidR="004964CB"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 w:rsidR="004964CB">
        <w:rPr>
          <w:rFonts w:eastAsia="Calibri"/>
          <w:b/>
          <w:sz w:val="28"/>
          <w:szCs w:val="22"/>
          <w:lang w:val="uk-UA" w:eastAsia="en-US"/>
        </w:rPr>
        <w:t>етіївсько</w:t>
      </w:r>
      <w:r w:rsidR="00FB608D">
        <w:rPr>
          <w:rFonts w:eastAsia="Calibri"/>
          <w:b/>
          <w:sz w:val="28"/>
          <w:szCs w:val="22"/>
          <w:lang w:val="uk-UA" w:eastAsia="en-US"/>
        </w:rPr>
        <w:t xml:space="preserve">ї міської ради  в  м. Тетієві по вул. </w:t>
      </w:r>
      <w:proofErr w:type="spellStart"/>
      <w:r w:rsidR="00FB608D">
        <w:rPr>
          <w:rFonts w:eastAsia="Calibri"/>
          <w:b/>
          <w:sz w:val="28"/>
          <w:szCs w:val="22"/>
          <w:lang w:val="uk-UA" w:eastAsia="en-US"/>
        </w:rPr>
        <w:t>Януша</w:t>
      </w:r>
      <w:proofErr w:type="spellEnd"/>
      <w:r w:rsidR="00FB608D">
        <w:rPr>
          <w:rFonts w:eastAsia="Calibri"/>
          <w:b/>
          <w:sz w:val="28"/>
          <w:szCs w:val="22"/>
          <w:lang w:val="uk-UA" w:eastAsia="en-US"/>
        </w:rPr>
        <w:t xml:space="preserve"> Острозького, 4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FB608D">
        <w:rPr>
          <w:rFonts w:eastAsia="Calibri"/>
          <w:b/>
          <w:sz w:val="28"/>
          <w:szCs w:val="22"/>
          <w:lang w:val="uk-UA" w:eastAsia="en-US"/>
        </w:rPr>
        <w:t xml:space="preserve"> ФОП </w:t>
      </w:r>
      <w:proofErr w:type="spellStart"/>
      <w:r w:rsidR="00FB608D">
        <w:rPr>
          <w:rFonts w:eastAsia="Calibri"/>
          <w:b/>
          <w:sz w:val="28"/>
          <w:szCs w:val="22"/>
          <w:lang w:val="uk-UA" w:eastAsia="en-US"/>
        </w:rPr>
        <w:t>Дячуку</w:t>
      </w:r>
      <w:proofErr w:type="spellEnd"/>
      <w:r w:rsidR="00FB608D">
        <w:rPr>
          <w:rFonts w:eastAsia="Calibri"/>
          <w:b/>
          <w:sz w:val="28"/>
          <w:szCs w:val="22"/>
          <w:lang w:val="uk-UA" w:eastAsia="en-US"/>
        </w:rPr>
        <w:t xml:space="preserve"> Віктору Миколайовичу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FC7BD0">
        <w:rPr>
          <w:rFonts w:ascii="Calibri" w:eastAsia="Calibri" w:hAnsi="Calibri"/>
          <w:sz w:val="28"/>
          <w:szCs w:val="22"/>
          <w:lang w:val="uk-UA" w:eastAsia="en-US"/>
        </w:rPr>
        <w:t>0,0113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FC7BD0">
        <w:rPr>
          <w:rFonts w:eastAsia="Calibri"/>
          <w:b/>
          <w:sz w:val="28"/>
          <w:szCs w:val="22"/>
          <w:lang w:val="uk-UA" w:eastAsia="en-US"/>
        </w:rPr>
        <w:t>3224610100:01:121:0045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4964CB" w:rsidRDefault="004964CB" w:rsidP="004964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1D53F2">
        <w:rPr>
          <w:rFonts w:eastAsia="Calibri"/>
          <w:sz w:val="28"/>
          <w:szCs w:val="28"/>
          <w:lang w:val="uk-UA" w:eastAsia="en-US"/>
        </w:rPr>
        <w:t>що складає 6 134 грн. 60</w:t>
      </w:r>
      <w:r w:rsidRPr="002944E5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1D53F2">
        <w:rPr>
          <w:rFonts w:eastAsia="Calibri"/>
          <w:sz w:val="28"/>
          <w:szCs w:val="28"/>
          <w:lang w:val="uk-UA" w:eastAsia="en-US"/>
        </w:rPr>
        <w:t>ної ділянки  становить   61 346  грн.  03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</w:t>
      </w:r>
      <w:r w:rsidR="004D0961">
        <w:rPr>
          <w:sz w:val="28"/>
          <w:szCs w:val="28"/>
          <w:lang w:val="uk-UA"/>
        </w:rPr>
        <w:t xml:space="preserve"> Термін дії договору  з  </w:t>
      </w:r>
      <w:r w:rsidR="004D0961" w:rsidRPr="00F35591">
        <w:rPr>
          <w:sz w:val="28"/>
          <w:szCs w:val="28"/>
          <w:lang w:val="uk-UA"/>
        </w:rPr>
        <w:t>01.12</w:t>
      </w:r>
      <w:r w:rsidRPr="00F35591">
        <w:rPr>
          <w:sz w:val="28"/>
          <w:szCs w:val="28"/>
          <w:lang w:val="uk-UA"/>
        </w:rPr>
        <w:t>.2023 року.</w:t>
      </w:r>
    </w:p>
    <w:p w:rsidR="00C56678" w:rsidRDefault="00C56678" w:rsidP="004E5D0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53F2" w:rsidRPr="004E622F" w:rsidRDefault="001D53F2" w:rsidP="001D53F2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="00220532" w:rsidRPr="0022053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0532" w:rsidRPr="004E622F">
        <w:rPr>
          <w:rFonts w:eastAsia="Calibri"/>
          <w:b/>
          <w:sz w:val="28"/>
          <w:szCs w:val="22"/>
          <w:lang w:val="uk-UA" w:eastAsia="en-US"/>
        </w:rPr>
        <w:t>П</w:t>
      </w:r>
      <w:r w:rsidR="00220532">
        <w:rPr>
          <w:rFonts w:eastAsia="Calibri"/>
          <w:b/>
          <w:sz w:val="28"/>
          <w:szCs w:val="22"/>
          <w:lang w:val="uk-UA" w:eastAsia="en-US"/>
        </w:rPr>
        <w:t>оновити договір оренди земельної ділянки</w:t>
      </w:r>
      <w:r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м. Тетієві по вул.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Януша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Острозького, 4</w:t>
      </w:r>
    </w:p>
    <w:p w:rsidR="001D53F2" w:rsidRPr="004964CB" w:rsidRDefault="001D53F2" w:rsidP="001D53F2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Дячуку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Віктору Миколайовичу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E03635">
        <w:rPr>
          <w:rFonts w:ascii="Calibri" w:eastAsia="Calibri" w:hAnsi="Calibri"/>
          <w:sz w:val="28"/>
          <w:szCs w:val="22"/>
          <w:lang w:val="uk-UA" w:eastAsia="en-US"/>
        </w:rPr>
        <w:t>0,0038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E03635">
        <w:rPr>
          <w:rFonts w:eastAsia="Calibri"/>
          <w:b/>
          <w:sz w:val="28"/>
          <w:szCs w:val="22"/>
          <w:lang w:val="uk-UA" w:eastAsia="en-US"/>
        </w:rPr>
        <w:t>3224610100:01:121:0046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4D0961" w:rsidRPr="00F35591" w:rsidRDefault="001D53F2" w:rsidP="0099677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E03635">
        <w:rPr>
          <w:rFonts w:eastAsia="Calibri"/>
          <w:sz w:val="28"/>
          <w:szCs w:val="28"/>
          <w:lang w:val="uk-UA" w:eastAsia="en-US"/>
        </w:rPr>
        <w:t>що складає 2 063 грн. 0</w:t>
      </w:r>
      <w:r>
        <w:rPr>
          <w:rFonts w:eastAsia="Calibri"/>
          <w:sz w:val="28"/>
          <w:szCs w:val="28"/>
          <w:lang w:val="uk-UA" w:eastAsia="en-US"/>
        </w:rPr>
        <w:t>0</w:t>
      </w:r>
      <w:r w:rsidRPr="002944E5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E03635">
        <w:rPr>
          <w:rFonts w:eastAsia="Calibri"/>
          <w:sz w:val="28"/>
          <w:szCs w:val="28"/>
          <w:lang w:val="uk-UA" w:eastAsia="en-US"/>
        </w:rPr>
        <w:t>ної ділянки  становить   20 629  грн.  64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</w:t>
      </w:r>
      <w:r w:rsidR="004D0961">
        <w:rPr>
          <w:sz w:val="28"/>
          <w:szCs w:val="28"/>
          <w:lang w:val="uk-UA"/>
        </w:rPr>
        <w:t xml:space="preserve"> Термін дії договору  з  </w:t>
      </w:r>
      <w:r w:rsidR="004D0961" w:rsidRPr="00F35591">
        <w:rPr>
          <w:sz w:val="28"/>
          <w:szCs w:val="28"/>
          <w:lang w:val="uk-UA"/>
        </w:rPr>
        <w:t>01.12</w:t>
      </w:r>
      <w:r w:rsidRPr="00F35591">
        <w:rPr>
          <w:sz w:val="28"/>
          <w:szCs w:val="28"/>
          <w:lang w:val="uk-UA"/>
        </w:rPr>
        <w:t>.2023 року.</w:t>
      </w:r>
    </w:p>
    <w:p w:rsidR="00220532" w:rsidRPr="004E622F" w:rsidRDefault="00220532" w:rsidP="00F35591">
      <w:pPr>
        <w:tabs>
          <w:tab w:val="left" w:pos="9498"/>
        </w:tabs>
        <w:spacing w:line="254" w:lineRule="auto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3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22053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b/>
          <w:sz w:val="28"/>
          <w:szCs w:val="22"/>
          <w:lang w:val="uk-UA" w:eastAsia="en-US"/>
        </w:rPr>
        <w:t>П</w:t>
      </w:r>
      <w:r>
        <w:rPr>
          <w:rFonts w:eastAsia="Calibri"/>
          <w:b/>
          <w:sz w:val="28"/>
          <w:szCs w:val="22"/>
          <w:lang w:val="uk-UA" w:eastAsia="en-US"/>
        </w:rPr>
        <w:t>оновити договір оренди земельної ділянки</w:t>
      </w:r>
      <w:r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>етіївської міської ради  в  м. Тетієві по вул. Михайла Грушевського, 27</w:t>
      </w:r>
    </w:p>
    <w:p w:rsidR="00220532" w:rsidRPr="004964CB" w:rsidRDefault="00220532" w:rsidP="00220532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1C072D">
        <w:rPr>
          <w:rFonts w:eastAsia="Calibri"/>
          <w:b/>
          <w:sz w:val="28"/>
          <w:szCs w:val="22"/>
          <w:lang w:val="uk-UA" w:eastAsia="en-US"/>
        </w:rPr>
        <w:t xml:space="preserve"> Моргуну Василю Вікторовичу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1C072D">
        <w:rPr>
          <w:rFonts w:ascii="Calibri" w:eastAsia="Calibri" w:hAnsi="Calibri"/>
          <w:sz w:val="28"/>
          <w:szCs w:val="22"/>
          <w:lang w:val="uk-UA" w:eastAsia="en-US"/>
        </w:rPr>
        <w:t>0,01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1C072D">
        <w:rPr>
          <w:rFonts w:eastAsia="Calibri"/>
          <w:b/>
          <w:sz w:val="28"/>
          <w:szCs w:val="22"/>
          <w:lang w:val="uk-UA" w:eastAsia="en-US"/>
        </w:rPr>
        <w:t>3224610100:01:049:0025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1C072D">
        <w:rPr>
          <w:rFonts w:eastAsia="Calibri"/>
          <w:sz w:val="28"/>
          <w:szCs w:val="22"/>
          <w:lang w:val="uk-UA" w:eastAsia="en-US"/>
        </w:rPr>
        <w:t>терміном на 5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220532" w:rsidRPr="005F6A88" w:rsidRDefault="00220532" w:rsidP="00220532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 w:rsidRPr="005F6A88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           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5F6A88">
        <w:rPr>
          <w:rFonts w:ascii="Calibri" w:eastAsia="Calibri" w:hAnsi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5F6A88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5F6A88"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>що складає 4099 грн. 42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коп. Нормативна грошова оцінка </w:t>
      </w:r>
      <w:r w:rsidR="005F6A88"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>земельної ділянки  становить   40 994  грн.  16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 коп.</w:t>
      </w:r>
      <w:r w:rsidR="001C072D" w:rsidRPr="005F6A88">
        <w:rPr>
          <w:color w:val="000000" w:themeColor="text1"/>
          <w:sz w:val="28"/>
          <w:szCs w:val="28"/>
          <w:lang w:val="uk-UA"/>
        </w:rPr>
        <w:t xml:space="preserve"> Термін дії договору  з  01.01.2024</w:t>
      </w:r>
      <w:r w:rsidRPr="005F6A88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1C072D" w:rsidRPr="004E622F" w:rsidRDefault="001C072D" w:rsidP="00F35591">
      <w:pPr>
        <w:tabs>
          <w:tab w:val="left" w:pos="9498"/>
        </w:tabs>
        <w:spacing w:line="254" w:lineRule="auto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4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22053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b/>
          <w:sz w:val="28"/>
          <w:szCs w:val="22"/>
          <w:lang w:val="uk-UA" w:eastAsia="en-US"/>
        </w:rPr>
        <w:t>П</w:t>
      </w:r>
      <w:r>
        <w:rPr>
          <w:rFonts w:eastAsia="Calibri"/>
          <w:b/>
          <w:sz w:val="28"/>
          <w:szCs w:val="22"/>
          <w:lang w:val="uk-UA" w:eastAsia="en-US"/>
        </w:rPr>
        <w:t>оновити договір оренди земельної ділянки</w:t>
      </w:r>
      <w:r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м. Тетієві по вул. Академіка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Байраківського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>, б/н</w:t>
      </w:r>
    </w:p>
    <w:p w:rsidR="001C072D" w:rsidRPr="004964CB" w:rsidRDefault="001C072D" w:rsidP="001C072D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Плавун Катерині Дмитрівні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0,0114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3224610100:01:089:0086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>
        <w:rPr>
          <w:rFonts w:eastAsia="Calibri"/>
          <w:sz w:val="28"/>
          <w:szCs w:val="22"/>
          <w:lang w:val="uk-UA" w:eastAsia="en-US"/>
        </w:rPr>
        <w:t>терміном на 5</w:t>
      </w:r>
      <w:r w:rsidRPr="004964CB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1C072D" w:rsidRPr="005F6A88" w:rsidRDefault="001C072D" w:rsidP="001C072D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 w:rsidRPr="005F6A88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           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5F6A88">
        <w:rPr>
          <w:rFonts w:ascii="Calibri" w:eastAsia="Calibri" w:hAnsi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5F6A88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5F6A88"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>що складає 4883 грн. 71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коп. Нормативна грошова оцінка земел</w:t>
      </w:r>
      <w:r w:rsidR="005F6A88"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>ьної ділянки  становить   48837  грн.  07</w:t>
      </w:r>
      <w:r w:rsidRPr="005F6A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коп.</w:t>
      </w:r>
      <w:r w:rsidRPr="005F6A88">
        <w:rPr>
          <w:color w:val="000000" w:themeColor="text1"/>
          <w:sz w:val="28"/>
          <w:szCs w:val="28"/>
          <w:lang w:val="uk-UA"/>
        </w:rPr>
        <w:t xml:space="preserve"> Термін дії договору  з  01.01.2024 року.</w:t>
      </w:r>
    </w:p>
    <w:p w:rsidR="000262E7" w:rsidRDefault="001C072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E03635">
        <w:rPr>
          <w:sz w:val="28"/>
          <w:szCs w:val="28"/>
          <w:lang w:val="uk-UA"/>
        </w:rPr>
        <w:t xml:space="preserve">ФОП </w:t>
      </w:r>
      <w:proofErr w:type="spellStart"/>
      <w:r w:rsidR="00E03635">
        <w:rPr>
          <w:sz w:val="28"/>
          <w:szCs w:val="28"/>
          <w:lang w:val="uk-UA"/>
        </w:rPr>
        <w:t>Дячуку</w:t>
      </w:r>
      <w:proofErr w:type="spellEnd"/>
      <w:r w:rsidR="00E03635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>. Моргуну В.В., Плавун К.Д.</w:t>
      </w:r>
      <w:r w:rsidR="00E03635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E03635">
        <w:rPr>
          <w:sz w:val="28"/>
          <w:szCs w:val="28"/>
          <w:lang w:val="uk-UA"/>
        </w:rPr>
        <w:t xml:space="preserve"> земельних  ділянок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87E9C" w:rsidRDefault="001C072D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1462C5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1462C5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1462C5" w:rsidRPr="004F5771" w:rsidRDefault="001462C5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6159F" w:rsidRDefault="0066159F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4D0961" w:rsidRPr="00481F3F" w:rsidRDefault="00F25004" w:rsidP="0066159F">
      <w:pPr>
        <w:tabs>
          <w:tab w:val="left" w:pos="6412"/>
        </w:tabs>
        <w:jc w:val="center"/>
        <w:rPr>
          <w:sz w:val="28"/>
          <w:szCs w:val="28"/>
          <w:lang w:val="uk-UA"/>
        </w:rPr>
      </w:pPr>
      <w:r w:rsidRPr="00F25004">
        <w:rPr>
          <w:sz w:val="28"/>
          <w:szCs w:val="28"/>
          <w:lang w:val="uk-UA"/>
        </w:rPr>
        <w:t xml:space="preserve">Міський голова                   </w:t>
      </w:r>
      <w:r w:rsidR="000F7B42">
        <w:rPr>
          <w:sz w:val="28"/>
          <w:szCs w:val="28"/>
          <w:lang w:val="uk-UA"/>
        </w:rPr>
        <w:t xml:space="preserve">          </w:t>
      </w:r>
      <w:r w:rsidRPr="00F25004">
        <w:rPr>
          <w:sz w:val="28"/>
          <w:szCs w:val="28"/>
          <w:lang w:val="uk-UA"/>
        </w:rPr>
        <w:t xml:space="preserve">                                Богдан  БАЛАГУРА</w:t>
      </w:r>
    </w:p>
    <w:sectPr w:rsidR="004D0961" w:rsidRPr="00481F3F" w:rsidSect="001462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70F29"/>
    <w:rsid w:val="000A007F"/>
    <w:rsid w:val="000E2E57"/>
    <w:rsid w:val="000F11AA"/>
    <w:rsid w:val="000F366A"/>
    <w:rsid w:val="000F7B42"/>
    <w:rsid w:val="00101741"/>
    <w:rsid w:val="0010257A"/>
    <w:rsid w:val="00141ACD"/>
    <w:rsid w:val="001462C5"/>
    <w:rsid w:val="001822CA"/>
    <w:rsid w:val="00192CB7"/>
    <w:rsid w:val="001C072D"/>
    <w:rsid w:val="001C22C4"/>
    <w:rsid w:val="001D53F2"/>
    <w:rsid w:val="001E2604"/>
    <w:rsid w:val="001F4695"/>
    <w:rsid w:val="00220532"/>
    <w:rsid w:val="002233A1"/>
    <w:rsid w:val="002250D9"/>
    <w:rsid w:val="00245E45"/>
    <w:rsid w:val="002534C6"/>
    <w:rsid w:val="00254DFF"/>
    <w:rsid w:val="00282B79"/>
    <w:rsid w:val="00293999"/>
    <w:rsid w:val="002944E5"/>
    <w:rsid w:val="002C3079"/>
    <w:rsid w:val="002E0558"/>
    <w:rsid w:val="002E226E"/>
    <w:rsid w:val="002F719D"/>
    <w:rsid w:val="003245A7"/>
    <w:rsid w:val="00335433"/>
    <w:rsid w:val="0035780A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668E"/>
    <w:rsid w:val="00481F3F"/>
    <w:rsid w:val="00486AC3"/>
    <w:rsid w:val="004904ED"/>
    <w:rsid w:val="004964CB"/>
    <w:rsid w:val="004A7F36"/>
    <w:rsid w:val="004D0961"/>
    <w:rsid w:val="004E5D0B"/>
    <w:rsid w:val="004E622F"/>
    <w:rsid w:val="004F3C47"/>
    <w:rsid w:val="00505F92"/>
    <w:rsid w:val="00514908"/>
    <w:rsid w:val="00520930"/>
    <w:rsid w:val="00542531"/>
    <w:rsid w:val="005A43AF"/>
    <w:rsid w:val="005B2F72"/>
    <w:rsid w:val="005C1A9B"/>
    <w:rsid w:val="005E5B2E"/>
    <w:rsid w:val="005F04AA"/>
    <w:rsid w:val="005F6A88"/>
    <w:rsid w:val="00625CFD"/>
    <w:rsid w:val="00653938"/>
    <w:rsid w:val="0066159F"/>
    <w:rsid w:val="006615A9"/>
    <w:rsid w:val="006635AE"/>
    <w:rsid w:val="006659CD"/>
    <w:rsid w:val="006A3A7D"/>
    <w:rsid w:val="006D6CBC"/>
    <w:rsid w:val="0075568C"/>
    <w:rsid w:val="0076744F"/>
    <w:rsid w:val="00797341"/>
    <w:rsid w:val="007D01B2"/>
    <w:rsid w:val="007E08CB"/>
    <w:rsid w:val="00806DE2"/>
    <w:rsid w:val="0081709A"/>
    <w:rsid w:val="008337B7"/>
    <w:rsid w:val="00857C87"/>
    <w:rsid w:val="008A2148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96775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B4B3F"/>
    <w:rsid w:val="00AE3408"/>
    <w:rsid w:val="00AF64B5"/>
    <w:rsid w:val="00B0418B"/>
    <w:rsid w:val="00B11BE8"/>
    <w:rsid w:val="00B20784"/>
    <w:rsid w:val="00B21B6D"/>
    <w:rsid w:val="00B80331"/>
    <w:rsid w:val="00B87E9C"/>
    <w:rsid w:val="00B955A1"/>
    <w:rsid w:val="00BB6C64"/>
    <w:rsid w:val="00BC27C6"/>
    <w:rsid w:val="00BC2856"/>
    <w:rsid w:val="00BC4357"/>
    <w:rsid w:val="00BE5D2A"/>
    <w:rsid w:val="00BF44AB"/>
    <w:rsid w:val="00C2389F"/>
    <w:rsid w:val="00C36AD6"/>
    <w:rsid w:val="00C404AA"/>
    <w:rsid w:val="00C451B3"/>
    <w:rsid w:val="00C56678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3635"/>
    <w:rsid w:val="00E06D7B"/>
    <w:rsid w:val="00E230DC"/>
    <w:rsid w:val="00E323C9"/>
    <w:rsid w:val="00E34445"/>
    <w:rsid w:val="00E364CD"/>
    <w:rsid w:val="00E450CF"/>
    <w:rsid w:val="00E574B3"/>
    <w:rsid w:val="00E829EC"/>
    <w:rsid w:val="00EB61F6"/>
    <w:rsid w:val="00ED23A2"/>
    <w:rsid w:val="00ED24F9"/>
    <w:rsid w:val="00ED312D"/>
    <w:rsid w:val="00EE233F"/>
    <w:rsid w:val="00EF0953"/>
    <w:rsid w:val="00F131AC"/>
    <w:rsid w:val="00F14031"/>
    <w:rsid w:val="00F25004"/>
    <w:rsid w:val="00F35591"/>
    <w:rsid w:val="00F653FC"/>
    <w:rsid w:val="00F65E44"/>
    <w:rsid w:val="00F77CDD"/>
    <w:rsid w:val="00FA681F"/>
    <w:rsid w:val="00FB47B0"/>
    <w:rsid w:val="00FB608D"/>
    <w:rsid w:val="00FC1591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C9D5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BEC3-99A8-4F1D-ACA0-3590D121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177</cp:revision>
  <cp:lastPrinted>2023-12-08T09:08:00Z</cp:lastPrinted>
  <dcterms:created xsi:type="dcterms:W3CDTF">2022-06-15T08:01:00Z</dcterms:created>
  <dcterms:modified xsi:type="dcterms:W3CDTF">2024-01-02T07:48:00Z</dcterms:modified>
</cp:coreProperties>
</file>