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1D" w:rsidRDefault="0094551D" w:rsidP="0094551D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51D" w:rsidRDefault="0094551D" w:rsidP="0094551D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94551D" w:rsidRDefault="0094551D" w:rsidP="0094551D">
      <w:pPr>
        <w:widowControl w:val="0"/>
        <w:autoSpaceDE w:val="0"/>
        <w:autoSpaceDN w:val="0"/>
        <w:jc w:val="center"/>
        <w:rPr>
          <w:sz w:val="32"/>
          <w:szCs w:val="32"/>
        </w:rPr>
      </w:pPr>
      <w:r>
        <w:rPr>
          <w:sz w:val="32"/>
          <w:szCs w:val="32"/>
        </w:rPr>
        <w:t>КИЇВСЬКА ОБЛАСТЬ</w:t>
      </w:r>
    </w:p>
    <w:p w:rsidR="0094551D" w:rsidRDefault="0094551D" w:rsidP="0094551D">
      <w:pPr>
        <w:widowControl w:val="0"/>
        <w:autoSpaceDE w:val="0"/>
        <w:autoSpaceDN w:val="0"/>
        <w:jc w:val="center"/>
        <w:rPr>
          <w:sz w:val="32"/>
          <w:szCs w:val="32"/>
        </w:rPr>
      </w:pPr>
    </w:p>
    <w:p w:rsidR="0094551D" w:rsidRDefault="0094551D" w:rsidP="0094551D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ТЕТІЇВСЬКА МІСЬКА РАДА</w:t>
      </w:r>
    </w:p>
    <w:p w:rsidR="0094551D" w:rsidRDefault="0094551D" w:rsidP="0094551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94551D" w:rsidRDefault="0094551D" w:rsidP="0094551D">
      <w:pPr>
        <w:widowControl w:val="0"/>
        <w:autoSpaceDE w:val="0"/>
        <w:autoSpaceDN w:val="0"/>
        <w:rPr>
          <w:b/>
          <w:sz w:val="28"/>
          <w:szCs w:val="28"/>
        </w:rPr>
      </w:pPr>
    </w:p>
    <w:p w:rsidR="0094551D" w:rsidRDefault="0094551D" w:rsidP="0094551D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lang w:val="uk-UA"/>
        </w:rPr>
        <w:t xml:space="preserve"> ДВАДЦЯТЬ ТРЕТЯ  </w:t>
      </w:r>
      <w:r>
        <w:rPr>
          <w:b/>
          <w:sz w:val="28"/>
          <w:szCs w:val="28"/>
        </w:rPr>
        <w:t>СЕСІЯ</w:t>
      </w:r>
    </w:p>
    <w:p w:rsidR="006A0D5F" w:rsidRDefault="006A0D5F" w:rsidP="006A0D5F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друге </w:t>
      </w:r>
      <w:proofErr w:type="spellStart"/>
      <w:proofErr w:type="gramStart"/>
      <w:r>
        <w:rPr>
          <w:b/>
          <w:sz w:val="28"/>
          <w:szCs w:val="28"/>
          <w:lang w:eastAsia="en-US"/>
        </w:rPr>
        <w:t>пленарне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зас</w:t>
      </w:r>
      <w:r>
        <w:rPr>
          <w:b/>
          <w:sz w:val="28"/>
          <w:szCs w:val="28"/>
          <w:lang w:val="uk-UA" w:eastAsia="en-US"/>
        </w:rPr>
        <w:t>ідання</w:t>
      </w:r>
      <w:proofErr w:type="spellEnd"/>
      <w:proofErr w:type="gramEnd"/>
    </w:p>
    <w:p w:rsidR="0094551D" w:rsidRDefault="0094551D" w:rsidP="00AC3DA0">
      <w:pPr>
        <w:widowControl w:val="0"/>
        <w:autoSpaceDE w:val="0"/>
        <w:autoSpaceDN w:val="0"/>
        <w:rPr>
          <w:sz w:val="32"/>
          <w:szCs w:val="32"/>
        </w:rPr>
      </w:pPr>
    </w:p>
    <w:p w:rsidR="0094551D" w:rsidRDefault="0094551D" w:rsidP="0094551D">
      <w:pPr>
        <w:widowControl w:val="0"/>
        <w:autoSpaceDE w:val="0"/>
        <w:autoSpaceDN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                </w:t>
      </w:r>
      <w:r w:rsidR="003D1B2D">
        <w:rPr>
          <w:b/>
          <w:bCs/>
          <w:sz w:val="32"/>
          <w:szCs w:val="32"/>
          <w:lang w:val="uk-UA"/>
        </w:rPr>
        <w:t xml:space="preserve">                             </w:t>
      </w:r>
      <w:r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</w:rPr>
        <w:t xml:space="preserve">Р І Ш Е Н </w:t>
      </w:r>
      <w:proofErr w:type="spellStart"/>
      <w:r>
        <w:rPr>
          <w:b/>
          <w:bCs/>
          <w:sz w:val="32"/>
          <w:szCs w:val="32"/>
        </w:rPr>
        <w:t>Н</w:t>
      </w:r>
      <w:proofErr w:type="spellEnd"/>
      <w:r>
        <w:rPr>
          <w:b/>
          <w:bCs/>
          <w:sz w:val="32"/>
          <w:szCs w:val="32"/>
        </w:rPr>
        <w:t xml:space="preserve"> Я</w:t>
      </w:r>
    </w:p>
    <w:p w:rsidR="00F84BA5" w:rsidRDefault="00F84BA5" w:rsidP="0094551D">
      <w:pPr>
        <w:widowControl w:val="0"/>
        <w:autoSpaceDE w:val="0"/>
        <w:autoSpaceDN w:val="0"/>
        <w:rPr>
          <w:sz w:val="32"/>
          <w:szCs w:val="32"/>
        </w:rPr>
      </w:pPr>
    </w:p>
    <w:p w:rsidR="0094551D" w:rsidRPr="00253CC3" w:rsidRDefault="006954CE" w:rsidP="0094551D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3D1B2D" w:rsidRPr="00F84BA5">
        <w:rPr>
          <w:sz w:val="28"/>
          <w:szCs w:val="28"/>
          <w:lang w:val="uk-UA"/>
        </w:rPr>
        <w:t xml:space="preserve">02 листопада </w:t>
      </w:r>
      <w:r w:rsidR="0094551D" w:rsidRPr="00F84BA5">
        <w:rPr>
          <w:sz w:val="28"/>
          <w:szCs w:val="28"/>
          <w:lang w:val="uk-UA"/>
        </w:rPr>
        <w:t xml:space="preserve">  2023 року </w:t>
      </w:r>
      <w:r w:rsidR="0094551D" w:rsidRPr="00F84BA5">
        <w:rPr>
          <w:sz w:val="28"/>
          <w:szCs w:val="28"/>
        </w:rPr>
        <w:t xml:space="preserve">                                 </w:t>
      </w:r>
      <w:r w:rsidR="003D1B2D" w:rsidRPr="00F84BA5">
        <w:rPr>
          <w:sz w:val="28"/>
          <w:szCs w:val="28"/>
          <w:lang w:val="uk-UA"/>
        </w:rPr>
        <w:t xml:space="preserve">           </w:t>
      </w:r>
      <w:r w:rsidR="00F84BA5">
        <w:rPr>
          <w:sz w:val="28"/>
          <w:szCs w:val="28"/>
          <w:lang w:val="uk-UA"/>
        </w:rPr>
        <w:t xml:space="preserve">    </w:t>
      </w:r>
      <w:r w:rsidR="0094551D" w:rsidRPr="00F84BA5">
        <w:rPr>
          <w:sz w:val="28"/>
          <w:szCs w:val="28"/>
          <w:lang w:val="uk-UA"/>
        </w:rPr>
        <w:t xml:space="preserve">    </w:t>
      </w:r>
      <w:r w:rsidR="0094551D" w:rsidRPr="00253CC3">
        <w:rPr>
          <w:b/>
          <w:sz w:val="28"/>
          <w:szCs w:val="28"/>
        </w:rPr>
        <w:t>№</w:t>
      </w:r>
      <w:r w:rsidR="0094551D">
        <w:rPr>
          <w:b/>
          <w:sz w:val="28"/>
          <w:szCs w:val="28"/>
          <w:lang w:val="uk-UA"/>
        </w:rPr>
        <w:t xml:space="preserve"> </w:t>
      </w:r>
      <w:r w:rsidR="003D1B2D">
        <w:rPr>
          <w:b/>
          <w:sz w:val="28"/>
          <w:szCs w:val="28"/>
          <w:lang w:val="uk-UA"/>
        </w:rPr>
        <w:t>1075</w:t>
      </w:r>
      <w:r w:rsidR="0094551D" w:rsidRPr="00253CC3">
        <w:rPr>
          <w:b/>
          <w:sz w:val="28"/>
          <w:szCs w:val="28"/>
        </w:rPr>
        <w:t xml:space="preserve"> -</w:t>
      </w:r>
      <w:r w:rsidR="0094551D" w:rsidRPr="00253CC3">
        <w:rPr>
          <w:b/>
          <w:sz w:val="28"/>
          <w:szCs w:val="28"/>
          <w:lang w:val="uk-UA"/>
        </w:rPr>
        <w:t xml:space="preserve"> </w:t>
      </w:r>
      <w:r w:rsidR="0094551D">
        <w:rPr>
          <w:b/>
          <w:sz w:val="28"/>
          <w:szCs w:val="28"/>
        </w:rPr>
        <w:t>23</w:t>
      </w:r>
      <w:r w:rsidR="0094551D" w:rsidRPr="00253CC3">
        <w:rPr>
          <w:b/>
          <w:sz w:val="28"/>
          <w:szCs w:val="28"/>
          <w:lang w:val="uk-UA"/>
        </w:rPr>
        <w:t xml:space="preserve"> </w:t>
      </w:r>
      <w:r w:rsidR="0094551D" w:rsidRPr="00253CC3">
        <w:rPr>
          <w:b/>
          <w:sz w:val="28"/>
          <w:szCs w:val="28"/>
        </w:rPr>
        <w:t>-</w:t>
      </w:r>
      <w:r w:rsidR="0094551D" w:rsidRPr="00253CC3">
        <w:rPr>
          <w:b/>
          <w:sz w:val="28"/>
          <w:szCs w:val="28"/>
          <w:lang w:val="uk-UA"/>
        </w:rPr>
        <w:t xml:space="preserve"> </w:t>
      </w:r>
      <w:r w:rsidR="0094551D" w:rsidRPr="00253CC3">
        <w:rPr>
          <w:b/>
          <w:sz w:val="28"/>
          <w:szCs w:val="28"/>
          <w:lang w:val="en-US"/>
        </w:rPr>
        <w:t>VII</w:t>
      </w:r>
      <w:r w:rsidR="0094551D" w:rsidRPr="00253CC3">
        <w:rPr>
          <w:b/>
          <w:sz w:val="28"/>
          <w:szCs w:val="28"/>
          <w:lang w:val="uk-UA"/>
        </w:rPr>
        <w:t>І</w:t>
      </w:r>
    </w:p>
    <w:p w:rsidR="0094551D" w:rsidRPr="002B6100" w:rsidRDefault="0094551D" w:rsidP="0094551D">
      <w:pPr>
        <w:widowControl w:val="0"/>
        <w:autoSpaceDE w:val="0"/>
        <w:autoSpaceDN w:val="0"/>
        <w:jc w:val="center"/>
        <w:rPr>
          <w:sz w:val="32"/>
          <w:szCs w:val="32"/>
          <w:lang w:val="uk-UA"/>
        </w:rPr>
      </w:pPr>
    </w:p>
    <w:p w:rsidR="0094551D" w:rsidRDefault="0094551D" w:rsidP="0094551D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проекту землеустрою</w:t>
      </w:r>
    </w:p>
    <w:p w:rsidR="0094551D" w:rsidRDefault="0094551D" w:rsidP="0094551D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земельної  ділянки,</w:t>
      </w:r>
    </w:p>
    <w:p w:rsidR="0094551D" w:rsidRDefault="0094551D" w:rsidP="0094551D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цільове призначення якої змінюється,</w:t>
      </w:r>
    </w:p>
    <w:p w:rsidR="0094551D" w:rsidRDefault="0094551D" w:rsidP="0094551D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яка розташована  на території Тетіївської </w:t>
      </w:r>
    </w:p>
    <w:p w:rsidR="0094551D" w:rsidRDefault="0094551D" w:rsidP="0094551D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</w:t>
      </w:r>
      <w:r w:rsidR="00816173">
        <w:rPr>
          <w:b/>
          <w:sz w:val="28"/>
          <w:szCs w:val="28"/>
          <w:lang w:val="uk-UA"/>
        </w:rPr>
        <w:t xml:space="preserve"> за межами м. Тетіїв по вул. Центральній</w:t>
      </w:r>
    </w:p>
    <w:p w:rsidR="0094551D" w:rsidRDefault="0094551D" w:rsidP="0094551D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94551D" w:rsidRDefault="0094551D" w:rsidP="009455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E5795E">
        <w:rPr>
          <w:b/>
          <w:sz w:val="28"/>
          <w:szCs w:val="28"/>
          <w:lang w:val="uk-UA"/>
        </w:rPr>
        <w:t xml:space="preserve"> </w:t>
      </w:r>
      <w:r w:rsidRPr="00E5795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</w:t>
      </w:r>
      <w:r w:rsidRPr="00E5795E">
        <w:rPr>
          <w:sz w:val="28"/>
          <w:szCs w:val="28"/>
          <w:lang w:val="uk-UA"/>
        </w:rPr>
        <w:t xml:space="preserve"> Розглянувши </w:t>
      </w:r>
      <w:r>
        <w:rPr>
          <w:sz w:val="28"/>
          <w:szCs w:val="28"/>
          <w:lang w:val="uk-UA"/>
        </w:rPr>
        <w:t xml:space="preserve">розроблений ПП «Земля» </w:t>
      </w:r>
      <w:r>
        <w:rPr>
          <w:b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 землеустрою щодо відведення земельної ділянки  цільове призначення якої змінюється, керуючись пунктом 34 частини 1 статті 26 Закону України «Про місцеве самоврядування в Україні», відповідно   до  </w:t>
      </w:r>
      <w:r w:rsidRPr="00E5795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   Закону України «Про землеустрій», Закону України «Про державну реєстрацію речових прав на нерухоме майно та їх обтяжень»,</w:t>
      </w:r>
      <w:r w:rsidRPr="00F60E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Тетіївська </w:t>
      </w:r>
      <w:r w:rsidRPr="00E5795E">
        <w:rPr>
          <w:sz w:val="28"/>
          <w:szCs w:val="28"/>
          <w:lang w:val="uk-UA"/>
        </w:rPr>
        <w:t xml:space="preserve">міська рада </w:t>
      </w:r>
    </w:p>
    <w:p w:rsidR="0094551D" w:rsidRDefault="0094551D" w:rsidP="00F84BA5">
      <w:pPr>
        <w:pStyle w:val="a6"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</w:t>
      </w:r>
      <w:r w:rsidRPr="0058400F">
        <w:rPr>
          <w:b/>
          <w:sz w:val="28"/>
          <w:szCs w:val="28"/>
          <w:lang w:val="uk-UA"/>
        </w:rPr>
        <w:t xml:space="preserve"> :</w:t>
      </w:r>
    </w:p>
    <w:p w:rsidR="0094551D" w:rsidRDefault="0094551D" w:rsidP="009455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2D20F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Затвердити розроблений ПП «Земля» </w:t>
      </w:r>
      <w:r w:rsidRPr="00C80285">
        <w:rPr>
          <w:sz w:val="28"/>
          <w:szCs w:val="28"/>
          <w:lang w:val="uk-UA"/>
        </w:rPr>
        <w:t>проект землеустрою щодо відведення</w:t>
      </w:r>
      <w:r>
        <w:rPr>
          <w:sz w:val="28"/>
          <w:szCs w:val="28"/>
          <w:lang w:val="uk-UA"/>
        </w:rPr>
        <w:t xml:space="preserve">  земельної  ділянки, цільове  призначення  якої  змінюється  із земель   промисловості, тра</w:t>
      </w:r>
      <w:r w:rsidR="006954CE">
        <w:rPr>
          <w:sz w:val="28"/>
          <w:szCs w:val="28"/>
          <w:lang w:val="uk-UA"/>
        </w:rPr>
        <w:t>нспорту, зв</w:t>
      </w:r>
      <w:r w:rsidR="006954CE" w:rsidRPr="006954CE">
        <w:rPr>
          <w:sz w:val="28"/>
          <w:szCs w:val="28"/>
          <w:lang w:val="uk-UA"/>
        </w:rPr>
        <w:t>’</w:t>
      </w:r>
      <w:r w:rsidR="006954CE">
        <w:rPr>
          <w:sz w:val="28"/>
          <w:szCs w:val="28"/>
          <w:lang w:val="uk-UA"/>
        </w:rPr>
        <w:t>язку</w:t>
      </w:r>
      <w:r>
        <w:rPr>
          <w:sz w:val="28"/>
          <w:szCs w:val="28"/>
          <w:lang w:val="uk-UA"/>
        </w:rPr>
        <w:t>, енергетики, оборони та іншого призначення  (код 900)</w:t>
      </w:r>
      <w:r w:rsidR="006954CE">
        <w:rPr>
          <w:sz w:val="28"/>
          <w:szCs w:val="28"/>
          <w:lang w:val="uk-UA"/>
        </w:rPr>
        <w:t xml:space="preserve"> для розміщення  та  експлуатації будівель і споруд </w:t>
      </w:r>
      <w:r w:rsidR="00EC3BE9">
        <w:rPr>
          <w:sz w:val="28"/>
          <w:szCs w:val="28"/>
          <w:lang w:val="uk-UA"/>
        </w:rPr>
        <w:t>автомобільного транспорту  та  дорожнього  господарства (12.04)  на землі</w:t>
      </w:r>
      <w:r>
        <w:rPr>
          <w:sz w:val="28"/>
          <w:szCs w:val="28"/>
          <w:lang w:val="uk-UA"/>
        </w:rPr>
        <w:t xml:space="preserve"> для розміщення та експлуатації основних, підсобних</w:t>
      </w:r>
      <w:r w:rsidR="00EC3BE9">
        <w:rPr>
          <w:sz w:val="28"/>
          <w:szCs w:val="28"/>
          <w:lang w:val="uk-UA"/>
        </w:rPr>
        <w:t xml:space="preserve"> і допоміжних </w:t>
      </w:r>
      <w:r>
        <w:rPr>
          <w:sz w:val="28"/>
          <w:szCs w:val="28"/>
          <w:lang w:val="uk-UA"/>
        </w:rPr>
        <w:t>будівель та споруд</w:t>
      </w:r>
      <w:r w:rsidR="00EC3BE9">
        <w:rPr>
          <w:sz w:val="28"/>
          <w:szCs w:val="28"/>
          <w:lang w:val="uk-UA"/>
        </w:rPr>
        <w:t xml:space="preserve"> підприємств  переробної, машинобудівної  та іншої  промисловості  (11.02 ),  </w:t>
      </w:r>
      <w:r>
        <w:rPr>
          <w:sz w:val="28"/>
          <w:szCs w:val="28"/>
          <w:lang w:val="uk-UA"/>
        </w:rPr>
        <w:t>яка</w:t>
      </w:r>
      <w:r w:rsidRPr="007A41AC">
        <w:rPr>
          <w:sz w:val="28"/>
          <w:szCs w:val="28"/>
          <w:lang w:val="uk-UA"/>
        </w:rPr>
        <w:t xml:space="preserve"> розташован</w:t>
      </w:r>
      <w:r>
        <w:rPr>
          <w:sz w:val="28"/>
          <w:szCs w:val="28"/>
          <w:lang w:val="uk-UA"/>
        </w:rPr>
        <w:t>а</w:t>
      </w:r>
      <w:r w:rsidRPr="007A41AC">
        <w:rPr>
          <w:sz w:val="28"/>
          <w:szCs w:val="28"/>
          <w:lang w:val="uk-UA"/>
        </w:rPr>
        <w:t xml:space="preserve"> на території Тетіївської міської ради </w:t>
      </w:r>
      <w:r>
        <w:rPr>
          <w:sz w:val="28"/>
          <w:szCs w:val="28"/>
          <w:lang w:val="uk-UA"/>
        </w:rPr>
        <w:t xml:space="preserve"> за межам</w:t>
      </w:r>
      <w:r w:rsidR="00EC3BE9">
        <w:rPr>
          <w:sz w:val="28"/>
          <w:szCs w:val="28"/>
          <w:lang w:val="uk-UA"/>
        </w:rPr>
        <w:t>и   м. Тетіїв по вул. Центральна</w:t>
      </w:r>
      <w:r>
        <w:rPr>
          <w:sz w:val="28"/>
          <w:szCs w:val="28"/>
          <w:lang w:val="uk-UA"/>
        </w:rPr>
        <w:t>, 1</w:t>
      </w:r>
      <w:r w:rsidR="00EC3BE9">
        <w:rPr>
          <w:sz w:val="28"/>
          <w:szCs w:val="28"/>
          <w:lang w:val="uk-UA"/>
        </w:rPr>
        <w:t>83</w:t>
      </w:r>
    </w:p>
    <w:p w:rsidR="0094551D" w:rsidRDefault="0094551D" w:rsidP="009455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Тетіївській міській раді  - площею</w:t>
      </w:r>
      <w:r w:rsidRPr="0002305B">
        <w:rPr>
          <w:sz w:val="28"/>
          <w:szCs w:val="28"/>
          <w:lang w:val="uk-UA"/>
        </w:rPr>
        <w:t xml:space="preserve"> </w:t>
      </w:r>
      <w:r w:rsidR="00EC3BE9">
        <w:rPr>
          <w:sz w:val="28"/>
          <w:szCs w:val="28"/>
          <w:lang w:val="uk-UA"/>
        </w:rPr>
        <w:t>1,25</w:t>
      </w:r>
      <w:r w:rsidR="00BE26D4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 xml:space="preserve"> га </w:t>
      </w:r>
      <w:r w:rsidRPr="0002305B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 xml:space="preserve">     </w:t>
      </w:r>
      <w:r w:rsidRPr="0002305B">
        <w:rPr>
          <w:sz w:val="28"/>
          <w:szCs w:val="28"/>
          <w:lang w:val="uk-UA"/>
        </w:rPr>
        <w:t>32246</w:t>
      </w:r>
      <w:r>
        <w:rPr>
          <w:sz w:val="28"/>
          <w:szCs w:val="28"/>
          <w:lang w:val="uk-UA"/>
        </w:rPr>
        <w:t>10100</w:t>
      </w:r>
      <w:r w:rsidRPr="0002305B">
        <w:rPr>
          <w:sz w:val="28"/>
          <w:szCs w:val="28"/>
          <w:lang w:val="uk-UA"/>
        </w:rPr>
        <w:t>:0</w:t>
      </w:r>
      <w:r w:rsidR="00BE26D4">
        <w:rPr>
          <w:sz w:val="28"/>
          <w:szCs w:val="28"/>
          <w:lang w:val="uk-UA"/>
        </w:rPr>
        <w:t>1:206:0034</w:t>
      </w:r>
      <w:r>
        <w:rPr>
          <w:sz w:val="28"/>
          <w:szCs w:val="28"/>
          <w:lang w:val="uk-UA"/>
        </w:rPr>
        <w:t>.</w:t>
      </w:r>
    </w:p>
    <w:p w:rsidR="00F84BA5" w:rsidRDefault="00F84BA5" w:rsidP="009455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BE26D4" w:rsidRDefault="0094551D" w:rsidP="00BE26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2D20FB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Змінити цільове призначення земельної ділянки, цільове  призначення  якої  змінюється  із</w:t>
      </w:r>
      <w:r w:rsidR="00BE26D4" w:rsidRPr="00BE26D4">
        <w:rPr>
          <w:sz w:val="28"/>
          <w:szCs w:val="28"/>
          <w:lang w:val="uk-UA"/>
        </w:rPr>
        <w:t xml:space="preserve"> </w:t>
      </w:r>
      <w:r w:rsidR="00BE26D4">
        <w:rPr>
          <w:sz w:val="28"/>
          <w:szCs w:val="28"/>
          <w:lang w:val="uk-UA"/>
        </w:rPr>
        <w:t>земель   промисловості, транспорту, зв</w:t>
      </w:r>
      <w:r w:rsidR="00BE26D4" w:rsidRPr="006954CE">
        <w:rPr>
          <w:sz w:val="28"/>
          <w:szCs w:val="28"/>
          <w:lang w:val="uk-UA"/>
        </w:rPr>
        <w:t>’</w:t>
      </w:r>
      <w:r w:rsidR="00BE26D4">
        <w:rPr>
          <w:sz w:val="28"/>
          <w:szCs w:val="28"/>
          <w:lang w:val="uk-UA"/>
        </w:rPr>
        <w:t>язку, енергетики, оборони та іншого призначення  (код 900) для розміщення  та  експлуатації будівель і споруд автомобільного транспорту  та  дорожнього  господарства (12.04)  на землі для розміщення та експлуатації основних, підсобних і допоміжних будівель та споруд підприємств  переробної, машинобудівної  та іншої  промисловості  (11.02 ),  яка</w:t>
      </w:r>
      <w:r w:rsidR="00BE26D4" w:rsidRPr="007A41AC">
        <w:rPr>
          <w:sz w:val="28"/>
          <w:szCs w:val="28"/>
          <w:lang w:val="uk-UA"/>
        </w:rPr>
        <w:t xml:space="preserve"> розташован</w:t>
      </w:r>
      <w:r w:rsidR="00BE26D4">
        <w:rPr>
          <w:sz w:val="28"/>
          <w:szCs w:val="28"/>
          <w:lang w:val="uk-UA"/>
        </w:rPr>
        <w:t>а</w:t>
      </w:r>
      <w:r w:rsidR="00BE26D4" w:rsidRPr="007A41AC">
        <w:rPr>
          <w:sz w:val="28"/>
          <w:szCs w:val="28"/>
          <w:lang w:val="uk-UA"/>
        </w:rPr>
        <w:t xml:space="preserve"> на території Тетіївської міської ради </w:t>
      </w:r>
      <w:r w:rsidR="00BE26D4">
        <w:rPr>
          <w:sz w:val="28"/>
          <w:szCs w:val="28"/>
          <w:lang w:val="uk-UA"/>
        </w:rPr>
        <w:t xml:space="preserve"> за межами   м. Тетіїв по вул. Центральна, 183</w:t>
      </w:r>
    </w:p>
    <w:p w:rsidR="0094551D" w:rsidRDefault="00BE26D4" w:rsidP="00BE26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Тетіївській міській раді  - площею</w:t>
      </w:r>
      <w:r w:rsidRPr="000230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1,2506 га </w:t>
      </w:r>
      <w:r w:rsidRPr="0002305B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 xml:space="preserve">     </w:t>
      </w:r>
      <w:r w:rsidRPr="0002305B">
        <w:rPr>
          <w:sz w:val="28"/>
          <w:szCs w:val="28"/>
          <w:lang w:val="uk-UA"/>
        </w:rPr>
        <w:t>32246</w:t>
      </w:r>
      <w:r>
        <w:rPr>
          <w:sz w:val="28"/>
          <w:szCs w:val="28"/>
          <w:lang w:val="uk-UA"/>
        </w:rPr>
        <w:t>10100</w:t>
      </w:r>
      <w:r w:rsidRPr="0002305B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1:206:0034.</w:t>
      </w:r>
    </w:p>
    <w:p w:rsidR="00AC3DA0" w:rsidRDefault="00AC3DA0" w:rsidP="00BE26D4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94551D" w:rsidRDefault="0094551D" w:rsidP="009455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7C2BB4">
        <w:rPr>
          <w:sz w:val="28"/>
          <w:szCs w:val="28"/>
          <w:lang w:val="uk-UA"/>
        </w:rPr>
        <w:t>Тетіївській міській раді</w:t>
      </w:r>
      <w:r>
        <w:rPr>
          <w:sz w:val="28"/>
          <w:szCs w:val="28"/>
          <w:lang w:val="uk-UA"/>
        </w:rPr>
        <w:t xml:space="preserve"> звернутись до Тетіївської ДПІ  ГУ ДПС у   Київській області для внесення відповідних змін по нарахуванню орендної плати.</w:t>
      </w:r>
    </w:p>
    <w:p w:rsidR="00AC3DA0" w:rsidRDefault="00AC3DA0" w:rsidP="0094551D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4551D" w:rsidRDefault="0094551D" w:rsidP="00604AC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D20F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BC3F38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</w:t>
      </w:r>
    </w:p>
    <w:p w:rsidR="0094551D" w:rsidRDefault="0094551D" w:rsidP="00604AC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BC3F38">
        <w:rPr>
          <w:sz w:val="28"/>
          <w:szCs w:val="28"/>
          <w:lang w:val="uk-UA"/>
        </w:rPr>
        <w:t xml:space="preserve">комісію з питань регулювання земельних відносин, архітектури, будівництва та </w:t>
      </w:r>
      <w:r>
        <w:rPr>
          <w:sz w:val="28"/>
          <w:szCs w:val="28"/>
          <w:lang w:val="uk-UA"/>
        </w:rPr>
        <w:t xml:space="preserve">   </w:t>
      </w:r>
      <w:r w:rsidRPr="00BC3F38">
        <w:rPr>
          <w:sz w:val="28"/>
          <w:szCs w:val="28"/>
          <w:lang w:val="uk-UA"/>
        </w:rPr>
        <w:t xml:space="preserve">охорони навколишнього середовища </w:t>
      </w:r>
      <w:r>
        <w:rPr>
          <w:sz w:val="28"/>
          <w:szCs w:val="28"/>
          <w:lang w:val="uk-UA"/>
        </w:rPr>
        <w:t>(голова комісії - Крамар О.А</w:t>
      </w:r>
      <w:r w:rsidRPr="00BC3F38">
        <w:rPr>
          <w:sz w:val="28"/>
          <w:szCs w:val="28"/>
          <w:lang w:val="uk-UA"/>
        </w:rPr>
        <w:t>.)</w:t>
      </w:r>
      <w:r w:rsidRPr="001059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1A7F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   </w:t>
      </w:r>
    </w:p>
    <w:p w:rsidR="0094551D" w:rsidRDefault="0094551D" w:rsidP="00604AC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sz w:val="28"/>
          <w:szCs w:val="28"/>
          <w:lang w:val="uk-UA"/>
        </w:rPr>
        <w:t>Кизимишина</w:t>
      </w:r>
      <w:proofErr w:type="spellEnd"/>
      <w:r>
        <w:rPr>
          <w:sz w:val="28"/>
          <w:szCs w:val="28"/>
          <w:lang w:val="uk-UA"/>
        </w:rPr>
        <w:t xml:space="preserve"> В.Й.</w:t>
      </w:r>
    </w:p>
    <w:p w:rsidR="0094551D" w:rsidRDefault="0094551D" w:rsidP="0094551D">
      <w:pPr>
        <w:pStyle w:val="HTML"/>
        <w:spacing w:line="276" w:lineRule="auto"/>
        <w:ind w:left="360" w:right="-87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DA0" w:rsidRDefault="00AC3DA0" w:rsidP="0094551D">
      <w:pPr>
        <w:pStyle w:val="HTML"/>
        <w:spacing w:line="276" w:lineRule="auto"/>
        <w:ind w:left="360" w:right="-87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551D" w:rsidRDefault="0094551D" w:rsidP="0094551D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51D" w:rsidRPr="00E55D28" w:rsidRDefault="0094551D" w:rsidP="0094551D">
      <w:pPr>
        <w:tabs>
          <w:tab w:val="left" w:pos="6412"/>
        </w:tabs>
        <w:rPr>
          <w:sz w:val="28"/>
          <w:szCs w:val="28"/>
          <w:lang w:val="uk-UA"/>
        </w:rPr>
      </w:pPr>
      <w:r w:rsidRPr="00E55D28">
        <w:rPr>
          <w:sz w:val="28"/>
          <w:szCs w:val="28"/>
          <w:lang w:val="uk-UA"/>
        </w:rPr>
        <w:t xml:space="preserve">  </w:t>
      </w:r>
      <w:r w:rsidRPr="00E55D28">
        <w:rPr>
          <w:color w:val="000000"/>
          <w:sz w:val="28"/>
          <w:szCs w:val="28"/>
          <w:lang w:val="uk-UA"/>
        </w:rPr>
        <w:t xml:space="preserve">  </w:t>
      </w:r>
      <w:r w:rsidRPr="00E55D28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 </w:t>
      </w:r>
      <w:r w:rsidRPr="00E55D28">
        <w:rPr>
          <w:sz w:val="28"/>
          <w:szCs w:val="28"/>
          <w:lang w:val="uk-UA"/>
        </w:rPr>
        <w:t>Міський голова                                                   Богдан  БАЛАГУРА</w:t>
      </w:r>
    </w:p>
    <w:p w:rsidR="0094551D" w:rsidRPr="00D5223C" w:rsidRDefault="0094551D" w:rsidP="0094551D">
      <w:pPr>
        <w:pStyle w:val="HTML"/>
        <w:spacing w:line="276" w:lineRule="auto"/>
        <w:ind w:right="-87"/>
        <w:jc w:val="both"/>
        <w:rPr>
          <w:lang w:val="uk-UA"/>
        </w:rPr>
      </w:pPr>
    </w:p>
    <w:p w:rsidR="0094551D" w:rsidRPr="00D5223C" w:rsidRDefault="0094551D" w:rsidP="0094551D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94551D" w:rsidRPr="002D20FB" w:rsidRDefault="0094551D" w:rsidP="0094551D">
      <w:pPr>
        <w:tabs>
          <w:tab w:val="left" w:pos="9498"/>
        </w:tabs>
        <w:spacing w:line="276" w:lineRule="auto"/>
        <w:ind w:firstLine="851"/>
        <w:jc w:val="center"/>
        <w:rPr>
          <w:sz w:val="28"/>
          <w:szCs w:val="28"/>
          <w:lang w:val="uk-UA"/>
        </w:rPr>
      </w:pPr>
    </w:p>
    <w:p w:rsidR="00775E64" w:rsidRDefault="00775E64"/>
    <w:sectPr w:rsidR="00775E64" w:rsidSect="00F84BA5">
      <w:headerReference w:type="even" r:id="rId7"/>
      <w:headerReference w:type="default" r:id="rId8"/>
      <w:pgSz w:w="11907" w:h="16840" w:code="9"/>
      <w:pgMar w:top="567" w:right="851" w:bottom="68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EC" w:rsidRDefault="004072EC">
      <w:r>
        <w:separator/>
      </w:r>
    </w:p>
  </w:endnote>
  <w:endnote w:type="continuationSeparator" w:id="0">
    <w:p w:rsidR="004072EC" w:rsidRDefault="0040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EC" w:rsidRDefault="004072EC">
      <w:r>
        <w:separator/>
      </w:r>
    </w:p>
  </w:footnote>
  <w:footnote w:type="continuationSeparator" w:id="0">
    <w:p w:rsidR="004072EC" w:rsidRDefault="0040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B4" w:rsidRDefault="009455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1B4" w:rsidRDefault="004072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B4" w:rsidRDefault="009455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DA0">
      <w:rPr>
        <w:rStyle w:val="a5"/>
        <w:noProof/>
      </w:rPr>
      <w:t>2</w:t>
    </w:r>
    <w:r>
      <w:rPr>
        <w:rStyle w:val="a5"/>
      </w:rPr>
      <w:fldChar w:fldCharType="end"/>
    </w:r>
  </w:p>
  <w:p w:rsidR="009651B4" w:rsidRDefault="004072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59"/>
    <w:rsid w:val="00104B21"/>
    <w:rsid w:val="001A7F14"/>
    <w:rsid w:val="001B0C6B"/>
    <w:rsid w:val="002C43C5"/>
    <w:rsid w:val="003D1B2D"/>
    <w:rsid w:val="004072EC"/>
    <w:rsid w:val="005C583B"/>
    <w:rsid w:val="00604ACE"/>
    <w:rsid w:val="0067196F"/>
    <w:rsid w:val="006954CE"/>
    <w:rsid w:val="006A0D5F"/>
    <w:rsid w:val="006F7A36"/>
    <w:rsid w:val="00775E64"/>
    <w:rsid w:val="007E226C"/>
    <w:rsid w:val="00816173"/>
    <w:rsid w:val="0094551D"/>
    <w:rsid w:val="00AC3DA0"/>
    <w:rsid w:val="00BE26D4"/>
    <w:rsid w:val="00C530B7"/>
    <w:rsid w:val="00D97259"/>
    <w:rsid w:val="00E46235"/>
    <w:rsid w:val="00EC3BE9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EC52"/>
  <w15:chartTrackingRefBased/>
  <w15:docId w15:val="{21F8353C-70FE-496B-BE51-752B250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51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45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4551D"/>
  </w:style>
  <w:style w:type="paragraph" w:styleId="a6">
    <w:name w:val="Body Text Indent"/>
    <w:basedOn w:val="a"/>
    <w:link w:val="a7"/>
    <w:rsid w:val="0094551D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9455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945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94551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D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</cp:revision>
  <cp:lastPrinted>2023-11-08T06:54:00Z</cp:lastPrinted>
  <dcterms:created xsi:type="dcterms:W3CDTF">2023-09-26T08:14:00Z</dcterms:created>
  <dcterms:modified xsi:type="dcterms:W3CDTF">2023-11-08T06:54:00Z</dcterms:modified>
</cp:coreProperties>
</file>