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6C" w:rsidRPr="003C0C6C" w:rsidRDefault="003C0C6C" w:rsidP="003C0C6C">
      <w:pPr>
        <w:ind w:left="-284" w:firstLine="4679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40C6A52D" wp14:editId="1FBB7CFA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sz w:val="32"/>
          <w:szCs w:val="32"/>
        </w:rPr>
      </w:pPr>
      <w:r w:rsidRPr="002E33F9">
        <w:rPr>
          <w:rFonts w:ascii="Times New Roman" w:hAnsi="Times New Roman"/>
          <w:sz w:val="32"/>
          <w:szCs w:val="32"/>
        </w:rPr>
        <w:t>КИЇВСЬКА ОБЛАСТЬ</w:t>
      </w: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2E33F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E33F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3F9">
        <w:rPr>
          <w:rFonts w:ascii="Times New Roman" w:hAnsi="Times New Roman"/>
          <w:b/>
          <w:sz w:val="28"/>
          <w:szCs w:val="28"/>
        </w:rPr>
        <w:t>ІІІ СКЛИКАННЯ</w:t>
      </w: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</w:t>
      </w:r>
      <w:r w:rsidRPr="002E33F9">
        <w:rPr>
          <w:rFonts w:ascii="Times New Roman" w:hAnsi="Times New Roman"/>
          <w:b/>
          <w:sz w:val="28"/>
          <w:szCs w:val="28"/>
          <w:lang w:val="uk-UA"/>
        </w:rPr>
        <w:t>НАДЦЯТА</w:t>
      </w:r>
      <w:r w:rsidRPr="002E33F9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C0C6C" w:rsidRPr="002E33F9" w:rsidRDefault="003C0C6C" w:rsidP="003C0C6C">
      <w:pPr>
        <w:pStyle w:val="aa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  </w:t>
      </w:r>
      <w:r w:rsidR="000F4F10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</w:t>
      </w:r>
      <w:r w:rsidR="00E262E9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</w:t>
      </w:r>
      <w:proofErr w:type="gramStart"/>
      <w:r w:rsidRPr="002E33F9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2E33F9">
        <w:rPr>
          <w:rFonts w:ascii="Times New Roman" w:hAnsi="Times New Roman"/>
          <w:b/>
          <w:bCs/>
          <w:sz w:val="32"/>
          <w:szCs w:val="32"/>
        </w:rPr>
        <w:t>ІШЕННЯ</w:t>
      </w:r>
    </w:p>
    <w:p w:rsidR="003C0C6C" w:rsidRPr="002E33F9" w:rsidRDefault="003C0C6C" w:rsidP="003C0C6C">
      <w:pPr>
        <w:pStyle w:val="aa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802F7" w:rsidRDefault="003C0C6C" w:rsidP="003C0C6C">
      <w:pPr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02 </w:t>
      </w:r>
      <w:proofErr w:type="spellStart"/>
      <w:r>
        <w:rPr>
          <w:rFonts w:ascii="Times New Roman" w:hAnsi="Times New Roman"/>
          <w:b/>
          <w:sz w:val="28"/>
          <w:szCs w:val="28"/>
        </w:rPr>
        <w:t>грудня</w:t>
      </w:r>
      <w:proofErr w:type="spellEnd"/>
      <w:r w:rsidR="00CA3D0F">
        <w:rPr>
          <w:rFonts w:ascii="Times New Roman" w:hAnsi="Times New Roman"/>
          <w:b/>
          <w:sz w:val="28"/>
          <w:szCs w:val="28"/>
        </w:rPr>
        <w:t xml:space="preserve"> 2021 р</w:t>
      </w:r>
      <w:r w:rsidR="00CA3D0F">
        <w:rPr>
          <w:rFonts w:ascii="Times New Roman" w:hAnsi="Times New Roman"/>
          <w:b/>
          <w:sz w:val="28"/>
          <w:szCs w:val="28"/>
          <w:lang w:val="uk-UA"/>
        </w:rPr>
        <w:t>оку</w:t>
      </w:r>
      <w:r w:rsidRPr="002E33F9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№</w:t>
      </w:r>
      <w:r w:rsidR="00E262E9">
        <w:rPr>
          <w:rFonts w:ascii="Times New Roman" w:hAnsi="Times New Roman"/>
          <w:b/>
          <w:sz w:val="28"/>
          <w:szCs w:val="28"/>
          <w:lang w:val="uk-UA"/>
        </w:rPr>
        <w:t xml:space="preserve"> 511</w:t>
      </w:r>
      <w:r>
        <w:rPr>
          <w:rFonts w:ascii="Times New Roman" w:hAnsi="Times New Roman"/>
          <w:b/>
          <w:sz w:val="28"/>
          <w:szCs w:val="28"/>
        </w:rPr>
        <w:t xml:space="preserve"> - 12</w:t>
      </w:r>
      <w:r w:rsidRPr="002E33F9">
        <w:rPr>
          <w:rFonts w:ascii="Times New Roman" w:hAnsi="Times New Roman"/>
          <w:b/>
          <w:sz w:val="28"/>
          <w:szCs w:val="28"/>
        </w:rPr>
        <w:t xml:space="preserve"> –</w:t>
      </w:r>
      <w:r w:rsidRPr="002E33F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2E33F9">
        <w:rPr>
          <w:rFonts w:ascii="Times New Roman" w:hAnsi="Times New Roman"/>
          <w:b/>
          <w:sz w:val="28"/>
          <w:szCs w:val="28"/>
        </w:rPr>
        <w:t>І</w:t>
      </w:r>
      <w:r>
        <w:rPr>
          <w:sz w:val="28"/>
          <w:szCs w:val="28"/>
        </w:rPr>
        <w:t xml:space="preserve">   </w:t>
      </w:r>
    </w:p>
    <w:p w:rsidR="000F4F10" w:rsidRPr="000F4F10" w:rsidRDefault="000F4F10" w:rsidP="003C0C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C0C6C" w:rsidRDefault="00041752" w:rsidP="003C0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Про затвердження Порядку визначення </w:t>
      </w:r>
    </w:p>
    <w:p w:rsidR="003C0C6C" w:rsidRDefault="00041752" w:rsidP="003C0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обсягів пайової участі власників тимчасових </w:t>
      </w:r>
    </w:p>
    <w:p w:rsidR="003C0C6C" w:rsidRDefault="00041752" w:rsidP="003C0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споруд торговельного, побутового, соціально-</w:t>
      </w:r>
    </w:p>
    <w:p w:rsidR="003C0C6C" w:rsidRDefault="00041752" w:rsidP="003C0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культурного чи іншого призначення в утриманні </w:t>
      </w:r>
    </w:p>
    <w:p w:rsidR="003C0C6C" w:rsidRDefault="00041752" w:rsidP="003C0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5645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об'єктів благоустрою на території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Тетіївської </w:t>
      </w:r>
    </w:p>
    <w:p w:rsidR="00041752" w:rsidRDefault="00041752" w:rsidP="003C0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територіальної громади</w:t>
      </w:r>
    </w:p>
    <w:p w:rsidR="003C0C6C" w:rsidRPr="00041752" w:rsidRDefault="003C0C6C" w:rsidP="003C0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41752" w:rsidRDefault="00041752" w:rsidP="003C0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</w:t>
      </w:r>
      <w:r w:rsidRPr="003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 33 Закону України «Про місцеве самоврядування в Україні», п. 10 ч. 2 ст. 10 Закону України «Про благоустрій населених пунктів», наказу Міністерства регіонального розвитку, будівництва та житлово-комунального господарства України від 21.10.2011 № 244 «Про затвердження порядку розміщення тимчасових споруд для провадження підприємницької діяльності», наказу Міністерства регіонального розвитку, будівництва та житлово-комунального господарства України від 12.11.2013 № 537 «Про затвердження Типового договору щодо пайової участі в утриманні об’єкта благоустрою», зареєстровано в Міністерстві юстиції України 6 грудня 2013 р. за № 2073/24605, Тетіївська міська рада:</w:t>
      </w:r>
    </w:p>
    <w:p w:rsidR="00CA3D0F" w:rsidRPr="003C0C6C" w:rsidRDefault="00CA3D0F" w:rsidP="003C0C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AC8" w:rsidRPr="00CA3D0F" w:rsidRDefault="00041752" w:rsidP="00CA3D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</w:t>
      </w:r>
      <w:r w:rsid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</w:t>
      </w:r>
      <w:r w:rsid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</w:t>
      </w:r>
      <w:r w:rsid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C0C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А:</w:t>
      </w:r>
    </w:p>
    <w:p w:rsidR="00041752" w:rsidRPr="00041752" w:rsidRDefault="00041752" w:rsidP="003C0C6C">
      <w:pPr>
        <w:pStyle w:val="a7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власників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тимчасових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побутового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соціально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-культурного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благо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устрою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0417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041752" w:rsidRDefault="00C13AC8" w:rsidP="003C0C6C">
      <w:pPr>
        <w:pStyle w:val="a7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Доручити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КП «Благоустрій» та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Обрій» Тетіївської міської ради</w:t>
      </w:r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>укладати</w:t>
      </w:r>
      <w:proofErr w:type="spellEnd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договори </w:t>
      </w:r>
      <w:proofErr w:type="spellStart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="00041752"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</w:t>
      </w:r>
    </w:p>
    <w:p w:rsidR="003C0C6C" w:rsidRPr="003C0C6C" w:rsidRDefault="00041752" w:rsidP="003C0C6C">
      <w:pPr>
        <w:pStyle w:val="a7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депутатську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041752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41752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C13A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торгівлі, </w:t>
      </w:r>
      <w:proofErr w:type="spellStart"/>
      <w:r w:rsidR="00C13AC8">
        <w:rPr>
          <w:rFonts w:ascii="Times New Roman" w:hAnsi="Times New Roman" w:cs="Times New Roman"/>
          <w:sz w:val="28"/>
          <w:szCs w:val="28"/>
          <w:lang w:val="uk-UA" w:eastAsia="ru-RU"/>
        </w:rPr>
        <w:t>житлово</w:t>
      </w:r>
      <w:proofErr w:type="spellEnd"/>
      <w:r w:rsidR="00C13A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CA3D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F5A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 голова комісії – </w:t>
      </w:r>
      <w:proofErr w:type="spellStart"/>
      <w:r w:rsidR="009F5AFD">
        <w:rPr>
          <w:rFonts w:ascii="Times New Roman" w:hAnsi="Times New Roman" w:cs="Times New Roman"/>
          <w:sz w:val="28"/>
          <w:szCs w:val="28"/>
          <w:lang w:val="uk-UA" w:eastAsia="ru-RU"/>
        </w:rPr>
        <w:t>Фармагей</w:t>
      </w:r>
      <w:proofErr w:type="spellEnd"/>
      <w:r w:rsidR="009F5A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В.В.) та </w:t>
      </w:r>
      <w:r w:rsidR="00CA3D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9F5A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першого заступника міського голови </w:t>
      </w:r>
      <w:proofErr w:type="spellStart"/>
      <w:r w:rsidR="009F5AFD">
        <w:rPr>
          <w:rFonts w:ascii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9F5A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В.Й</w:t>
      </w:r>
      <w:r w:rsidR="00C13AC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C0C6C" w:rsidRPr="003C0C6C" w:rsidRDefault="003C0C6C" w:rsidP="003C0C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3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  <w:gridCol w:w="3409"/>
      </w:tblGrid>
      <w:tr w:rsidR="00041752" w:rsidRPr="00041752" w:rsidTr="003C0C6C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752" w:rsidRPr="00041752" w:rsidRDefault="003C0C6C" w:rsidP="003C0C6C">
            <w:pPr>
              <w:spacing w:after="0" w:line="240" w:lineRule="auto"/>
              <w:ind w:right="-3259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       </w:t>
            </w:r>
            <w:r w:rsidR="00041752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Міський голова                                          Богдан БАЛАГУРА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752" w:rsidRPr="00041752" w:rsidRDefault="00041752" w:rsidP="003C0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1752" w:rsidRPr="00041752" w:rsidRDefault="00041752" w:rsidP="00564582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C0C6C" w:rsidRDefault="003C0C6C" w:rsidP="000417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4F10" w:rsidRDefault="000F4F10" w:rsidP="000417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="003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0F4F10" w:rsidRDefault="000F4F10" w:rsidP="000F4F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3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дванадцятої сесії </w:t>
      </w:r>
    </w:p>
    <w:p w:rsidR="000F4F10" w:rsidRDefault="000F4F10" w:rsidP="000F4F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CA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</w:t>
      </w:r>
      <w:r w:rsidR="003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3C0C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3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3C0C6C" w:rsidRPr="000F4F10" w:rsidRDefault="000F4F10" w:rsidP="000F4F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E26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02.12.2021 </w:t>
      </w:r>
      <w:r w:rsidR="00CA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 </w:t>
      </w:r>
      <w:r w:rsidR="00E26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511 </w:t>
      </w:r>
      <w:r w:rsidR="003C0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:rsidR="003C0C6C" w:rsidRDefault="003C0C6C" w:rsidP="000417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752" w:rsidRPr="000F4F10" w:rsidRDefault="00041752" w:rsidP="000417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4F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ПОРЯДОК</w:t>
      </w:r>
    </w:p>
    <w:p w:rsidR="00041752" w:rsidRPr="000F4F10" w:rsidRDefault="00041752" w:rsidP="0004175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4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визначення обсягів пайової участі власників тимчасових споруд торговельного, побутового, соціально-культурного чи </w:t>
      </w:r>
      <w:proofErr w:type="spellStart"/>
      <w:r w:rsidRPr="000F4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</w:t>
      </w:r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шого</w:t>
      </w:r>
      <w:proofErr w:type="spellEnd"/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</w:t>
      </w:r>
      <w:proofErr w:type="spellEnd"/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утриманні</w:t>
      </w:r>
      <w:proofErr w:type="spellEnd"/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об'єктів</w:t>
      </w:r>
      <w:proofErr w:type="spellEnd"/>
      <w:r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</w:t>
      </w:r>
      <w:r w:rsidR="00E930B1"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устрою на </w:t>
      </w:r>
      <w:proofErr w:type="spellStart"/>
      <w:r w:rsidR="00E930B1"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території</w:t>
      </w:r>
      <w:proofErr w:type="spellEnd"/>
      <w:r w:rsidR="00E930B1" w:rsidRPr="000F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0B1" w:rsidRPr="000F4F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територіальної громади</w:t>
      </w:r>
    </w:p>
    <w:p w:rsidR="00041752" w:rsidRPr="00E262E9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262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1. Загальні положення</w:t>
      </w:r>
    </w:p>
    <w:p w:rsidR="00041752" w:rsidRPr="00E262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262E9">
        <w:rPr>
          <w:rFonts w:ascii="Times New Roman" w:hAnsi="Times New Roman" w:cs="Times New Roman"/>
          <w:sz w:val="28"/>
          <w:szCs w:val="28"/>
          <w:lang w:val="uk-UA" w:eastAsia="ru-RU"/>
        </w:rPr>
        <w:t>1.1. Цей Порядок регулює організаційні та економічні відносини та визначає обсяг пайової участі (внеску), механізм її залучення та використання для утримання об’єктів благо</w:t>
      </w:r>
      <w:r w:rsidR="00E930B1" w:rsidRPr="00E262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устрою на території </w:t>
      </w:r>
      <w:r w:rsidR="00E930B1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E262E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1.2. 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нижченаведені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наступному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значені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грошовий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благоустрою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сплачується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 грошовому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виразі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гривнях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укладеного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</w:t>
      </w:r>
      <w:bookmarkStart w:id="1" w:name="o91"/>
      <w:bookmarkEnd w:id="1"/>
      <w:r w:rsidRPr="00707B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:</w:t>
      </w:r>
      <w:bookmarkStart w:id="2" w:name="o92"/>
      <w:bookmarkEnd w:id="2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а) парки,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рекреаційні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сади,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сквери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3" w:name="o93"/>
      <w:bookmarkEnd w:id="3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пам'ятки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історичної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4" w:name="o94"/>
      <w:bookmarkEnd w:id="4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дороги,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провулки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проїзди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пішохідні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велосипедні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доріжки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5" w:name="o95"/>
      <w:bookmarkEnd w:id="5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>г) </w:t>
      </w:r>
      <w:bookmarkStart w:id="6" w:name="o96"/>
      <w:bookmarkEnd w:id="6"/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кладовища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o97"/>
      <w:bookmarkEnd w:id="7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д) </w:t>
      </w:r>
      <w:bookmarkStart w:id="8" w:name="o98"/>
      <w:bookmarkEnd w:id="8"/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прибудинкові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9" w:name="o100"/>
      <w:bookmarkEnd w:id="9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будівель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інженерного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10" w:name="o101"/>
      <w:bookmarkEnd w:id="10"/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11" w:name="o102"/>
      <w:bookmarkEnd w:id="11"/>
    </w:p>
    <w:p w:rsidR="00E930B1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належати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межах</w:t>
      </w:r>
      <w:r w:rsidR="00E930B1" w:rsidRPr="00707B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Тетіївської територіальної громади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val="uk-UA" w:eastAsia="ru-RU"/>
        </w:rPr>
        <w:t>– договір щодо пайової участі в утриманні об’єктів благоустрою – угода, укладена мі</w:t>
      </w:r>
      <w:r w:rsidR="00FA269E">
        <w:rPr>
          <w:rFonts w:ascii="Times New Roman" w:hAnsi="Times New Roman" w:cs="Times New Roman"/>
          <w:sz w:val="28"/>
          <w:szCs w:val="28"/>
          <w:lang w:val="uk-UA" w:eastAsia="ru-RU"/>
        </w:rPr>
        <w:t>ж КП Благоустрій» та КП «</w:t>
      </w:r>
      <w:proofErr w:type="spellStart"/>
      <w:r w:rsidR="00FA269E">
        <w:rPr>
          <w:rFonts w:ascii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FA2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Обрій»</w:t>
      </w:r>
      <w:r w:rsidR="00E930B1" w:rsidRPr="00707B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</w:t>
      </w:r>
      <w:r w:rsidRPr="00707B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о</w:t>
      </w:r>
      <w:r w:rsidR="00FA269E">
        <w:rPr>
          <w:rFonts w:ascii="Times New Roman" w:hAnsi="Times New Roman" w:cs="Times New Roman"/>
          <w:sz w:val="28"/>
          <w:szCs w:val="28"/>
          <w:lang w:val="uk-UA" w:eastAsia="ru-RU"/>
        </w:rPr>
        <w:t>собою, яка бере</w:t>
      </w:r>
      <w:r w:rsidRPr="00707B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пайову участь в утримані об’єкт</w:t>
      </w:r>
      <w:r w:rsidR="00E930B1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а благоустрою на території 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6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літній торговельний майданчик – тимчасовий, збірно-роздрібний пункт, який розташовується поруч з місцями великого скупчення людей. Виготовляється з полегшених конструкцій, встановлюється без влаштування фундаментів.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функціонує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теплий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року з 01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по 01 листопада;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платники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підприємці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уклали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паспорт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прив’язки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комплект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топографо-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геодезичній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М 1:500, схему благоустрою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прилеглої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1 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подана 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особою,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особою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підприємцем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особою, яка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виявила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</w:t>
      </w:r>
      <w:r w:rsidR="00D426D0">
        <w:rPr>
          <w:rFonts w:ascii="Times New Roman" w:hAnsi="Times New Roman" w:cs="Times New Roman"/>
          <w:sz w:val="28"/>
          <w:szCs w:val="28"/>
          <w:lang w:eastAsia="ru-RU"/>
        </w:rPr>
        <w:t xml:space="preserve">агоустрою на </w:t>
      </w:r>
      <w:proofErr w:type="spellStart"/>
      <w:r w:rsidR="00D426D0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D42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6D0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Залучені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спрямовуються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благо</w:t>
      </w:r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устрою на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(ремонт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благоустроєм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залучається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відшко</w:t>
      </w:r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дування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 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розширене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відтворення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особам-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підприємцям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юридичним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особам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реалізувати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752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благо</w:t>
      </w:r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устрою на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(ремонт,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заходи,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благоустроєм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64582" w:rsidRPr="00564582" w:rsidRDefault="0056458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Pr="00707B9F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Принципи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визначення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)</w:t>
      </w:r>
    </w:p>
    <w:p w:rsidR="00041752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та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фактори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впливають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розмір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CD795B" w:rsidRPr="00CD795B" w:rsidRDefault="00CD795B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Принципи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компенсація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розширене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відтворення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комплексний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рівномірний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залученню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бл</w:t>
      </w:r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агоустрою на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функціонального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пріоритетності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44ECC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територіального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тимчасових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побутового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соціально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культурного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комерційного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некомерційного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літніх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795B" w:rsidRPr="00CD795B" w:rsidRDefault="00CD795B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Pr="00707B9F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3. Порядок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укладення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договору</w:t>
      </w:r>
    </w:p>
    <w:p w:rsidR="00041752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благоустрою</w:t>
      </w: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D795B" w:rsidRPr="00CD795B" w:rsidRDefault="00CD795B" w:rsidP="000F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Pr="00CD795B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795B">
        <w:rPr>
          <w:rFonts w:ascii="Times New Roman" w:hAnsi="Times New Roman" w:cs="Times New Roman"/>
          <w:sz w:val="28"/>
          <w:szCs w:val="28"/>
          <w:lang w:val="uk-UA" w:eastAsia="ru-RU"/>
        </w:rPr>
        <w:t>3.1. У всіх питаннях щодо організації залучення пайової участі виступає відділ містобудування, архітектури та з</w:t>
      </w:r>
      <w:r w:rsidR="004A06D3" w:rsidRPr="00CD795B">
        <w:rPr>
          <w:rFonts w:ascii="Times New Roman" w:hAnsi="Times New Roman" w:cs="Times New Roman"/>
          <w:sz w:val="28"/>
          <w:szCs w:val="28"/>
          <w:lang w:val="uk-UA" w:eastAsia="ru-RU"/>
        </w:rPr>
        <w:t>ем</w:t>
      </w:r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>ельних відносин</w:t>
      </w:r>
      <w:r w:rsidR="0022041B" w:rsidRPr="00CD79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виконавчого комітету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Тетіїв</w:t>
      </w:r>
      <w:r w:rsidR="004A06D3" w:rsidRPr="00CD795B">
        <w:rPr>
          <w:rFonts w:ascii="Times New Roman" w:hAnsi="Times New Roman" w:cs="Times New Roman"/>
          <w:sz w:val="28"/>
          <w:szCs w:val="28"/>
          <w:lang w:val="uk-UA" w:eastAsia="ru-RU"/>
        </w:rPr>
        <w:t>ської міської ради</w:t>
      </w:r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>, КП «Благоустрій», КП «</w:t>
      </w:r>
      <w:proofErr w:type="spellStart"/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Обрій» Тетіївської міської ради.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041752" w:rsidRPr="009F5AFD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5AFD">
        <w:rPr>
          <w:rFonts w:ascii="Times New Roman" w:hAnsi="Times New Roman" w:cs="Times New Roman"/>
          <w:sz w:val="28"/>
          <w:szCs w:val="28"/>
          <w:lang w:val="uk-UA" w:eastAsia="ru-RU"/>
        </w:rPr>
        <w:t>Підготовку матеріалів для укладання договорів на Пайову участь та відповідних розрахунків здійснює</w:t>
      </w:r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КП «Благоустрій», КП «</w:t>
      </w:r>
      <w:proofErr w:type="spellStart"/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Обрій» Тетіївської міської ради, </w:t>
      </w:r>
      <w:r w:rsidRPr="009F5AFD">
        <w:rPr>
          <w:rFonts w:ascii="Times New Roman" w:hAnsi="Times New Roman" w:cs="Times New Roman"/>
          <w:sz w:val="28"/>
          <w:szCs w:val="28"/>
          <w:lang w:val="uk-UA" w:eastAsia="ru-RU"/>
        </w:rPr>
        <w:t>відділ містобудува</w:t>
      </w:r>
      <w:r w:rsidR="004A06D3" w:rsidRPr="009F5AFD">
        <w:rPr>
          <w:rFonts w:ascii="Times New Roman" w:hAnsi="Times New Roman" w:cs="Times New Roman"/>
          <w:sz w:val="28"/>
          <w:szCs w:val="28"/>
          <w:lang w:val="uk-UA" w:eastAsia="ru-RU"/>
        </w:rPr>
        <w:t>ння, архітектури та зем</w:t>
      </w:r>
      <w:r w:rsidR="004A06D3">
        <w:rPr>
          <w:rFonts w:ascii="Times New Roman" w:hAnsi="Times New Roman" w:cs="Times New Roman"/>
          <w:sz w:val="28"/>
          <w:szCs w:val="28"/>
          <w:lang w:val="uk-UA" w:eastAsia="ru-RU"/>
        </w:rPr>
        <w:t>ельних відносин</w:t>
      </w:r>
      <w:r w:rsidR="0022041B" w:rsidRPr="009F5A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виконавчого комітету 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</w:t>
      </w:r>
      <w:r w:rsidRPr="009F5AFD">
        <w:rPr>
          <w:rFonts w:ascii="Times New Roman" w:hAnsi="Times New Roman" w:cs="Times New Roman"/>
          <w:sz w:val="28"/>
          <w:szCs w:val="28"/>
          <w:lang w:val="uk-UA" w:eastAsia="ru-RU"/>
        </w:rPr>
        <w:t>ської міської ради, на підставі заяви (додаток 2) від фізичної особи, фізичної особи – підприємця або юридичної особи на укладення договору щодо пайової участі в утриманні об’єктів благоустрою та отриманого паспорта прив'язки тимчасової споруди (малої архітектурної форми), погодженого в установленому порядку.</w:t>
      </w:r>
    </w:p>
    <w:p w:rsidR="00041752" w:rsidRPr="009F5AFD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5AFD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3.2. Для розгляду питання визначення пайової участі особа, зацікавлена в укладенні договору щодо пайової участі в утриманні об’єкта благоустрою, одночасно подає заяву д</w:t>
      </w:r>
      <w:r w:rsidR="001E6AB3" w:rsidRPr="009F5A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 </w:t>
      </w:r>
      <w:r w:rsidR="001E6AB3">
        <w:rPr>
          <w:rFonts w:ascii="Times New Roman" w:hAnsi="Times New Roman" w:cs="Times New Roman"/>
          <w:sz w:val="28"/>
          <w:szCs w:val="28"/>
          <w:lang w:val="uk-UA" w:eastAsia="ru-RU"/>
        </w:rPr>
        <w:t>КП «Благоустрій», КП «</w:t>
      </w:r>
      <w:proofErr w:type="spellStart"/>
      <w:r w:rsidR="001E6AB3">
        <w:rPr>
          <w:rFonts w:ascii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1E6A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Обрій» Тетіївської міської ради</w:t>
      </w:r>
      <w:r w:rsidRPr="009F5A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укладення договору щодо пайової участі в утриманні об’єктів благоустрою.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3.2.1. До заяви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зацікавлена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додає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паспорта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ідентифікаційного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коду;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витяг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підприємця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підприємця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виписка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підприємця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Статуту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банківські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реквізити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органу статистики 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включення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орендаря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особи до ЄДРПОУ;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взяття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платника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свідоцтва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платника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додану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22041B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ської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="00041752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розгля</w:t>
      </w:r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заяви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="0022041B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041B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ської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ради  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особу яка подала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 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письмовій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3.4.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прийнятого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розробляється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підписується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3).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об’єктом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є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чинний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 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заявник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об’єктом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ідключення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тимчасових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інженерних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електричних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мереж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  за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чинного договору 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відмови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є: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неповного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пакету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недостовірних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 </w:t>
      </w:r>
      <w:proofErr w:type="spellStart"/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ярмарок,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святкових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урочистих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масових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строк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 порядку,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4ECC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3.7. 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строку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анулювання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прив’язки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самовільного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підлягає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демонтажу,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Правилами </w:t>
      </w:r>
      <w:r w:rsidR="0042668C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благоустрою </w:t>
      </w:r>
      <w:proofErr w:type="spellStart"/>
      <w:r w:rsidR="0042668C" w:rsidRPr="00707B9F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42668C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68C" w:rsidRPr="00707B9F">
        <w:rPr>
          <w:rFonts w:ascii="Times New Roman" w:hAnsi="Times New Roman" w:cs="Times New Roman"/>
          <w:sz w:val="28"/>
          <w:szCs w:val="28"/>
          <w:lang w:val="uk-UA" w:eastAsia="ru-RU"/>
        </w:rPr>
        <w:t>Тетіївської територіальної громади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4F10" w:rsidRDefault="000F4F10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4F10" w:rsidRDefault="000F4F10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4F10" w:rsidRDefault="000F4F10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4F10" w:rsidRDefault="000F4F10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4F10" w:rsidRDefault="000F4F10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3D0F" w:rsidRDefault="00CA3D0F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4F10" w:rsidRPr="000F4F10" w:rsidRDefault="000F4F10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Pr="00707B9F" w:rsidRDefault="00041752" w:rsidP="000F4F10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Порядок та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терміни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)</w:t>
      </w:r>
    </w:p>
    <w:p w:rsidR="00041752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благоустрою.</w:t>
      </w:r>
    </w:p>
    <w:p w:rsidR="000F4F10" w:rsidRPr="000F4F10" w:rsidRDefault="000F4F10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сплачується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платежем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графіком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73DD" w:rsidRPr="00B773DD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платник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перераховує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73DD">
        <w:rPr>
          <w:rFonts w:ascii="Times New Roman" w:hAnsi="Times New Roman" w:cs="Times New Roman"/>
          <w:sz w:val="28"/>
          <w:szCs w:val="28"/>
          <w:lang w:val="uk-UA" w:eastAsia="ru-RU"/>
        </w:rPr>
        <w:t>КП «Благоустрій», КП «</w:t>
      </w:r>
      <w:proofErr w:type="spellStart"/>
      <w:r w:rsidR="00B773DD">
        <w:rPr>
          <w:rFonts w:ascii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B773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Обрій» Тетіївської міської ради.</w:t>
      </w:r>
      <w:r w:rsidR="00B773DD" w:rsidRPr="00707B9F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4.3. Особи,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намі</w:t>
      </w:r>
      <w:proofErr w:type="gram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гастрольних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розважальних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рекламних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15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діб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сплачують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платежем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початку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заходу.</w:t>
      </w:r>
    </w:p>
    <w:p w:rsidR="00685558" w:rsidRPr="00685558" w:rsidRDefault="00685558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5. Контроль за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сплатою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 та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використанням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пайової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) в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утриманні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благоустрою.</w:t>
      </w:r>
    </w:p>
    <w:p w:rsidR="00CD795B" w:rsidRPr="00CD795B" w:rsidRDefault="00CD795B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25E72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5.1. Контроль за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умов договору 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42668C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proofErr w:type="spellStart"/>
      <w:r w:rsidR="0042668C" w:rsidRPr="00707B9F">
        <w:rPr>
          <w:rFonts w:ascii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42668C"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5E72">
        <w:rPr>
          <w:rFonts w:ascii="Times New Roman" w:hAnsi="Times New Roman" w:cs="Times New Roman"/>
          <w:sz w:val="28"/>
          <w:szCs w:val="28"/>
          <w:lang w:val="uk-UA" w:eastAsia="ru-RU"/>
        </w:rPr>
        <w:t>КП «Благоустрій», КП «</w:t>
      </w:r>
      <w:proofErr w:type="spellStart"/>
      <w:r w:rsidR="00925E72">
        <w:rPr>
          <w:rFonts w:ascii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925E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Обрій» Тетіївської міської ради.</w:t>
      </w:r>
      <w:r w:rsidR="00925E72" w:rsidRPr="00707B9F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E31FFA" w:rsidRPr="00925E72" w:rsidRDefault="00E31FFA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Наслідки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порушення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умов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сплати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пайової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) в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утриманні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об’єкта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благоустрою.</w:t>
      </w:r>
    </w:p>
    <w:p w:rsidR="00CD795B" w:rsidRPr="00CD795B" w:rsidRDefault="00CD795B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6.1. 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прострочення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термінів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платник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благоустрою.</w:t>
      </w:r>
    </w:p>
    <w:p w:rsidR="00041752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6.2. При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сплату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експлуатація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4ECC" w:rsidRPr="00044ECC" w:rsidRDefault="00044ECC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Default="00041752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7.</w:t>
      </w:r>
      <w:r w:rsidRPr="00071EE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Методика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розрахунку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розміру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пайової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внеску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) при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розміщенні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тимчасових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будівель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споруд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соціально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– культурного,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побутового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торговельного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іншого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071E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CD795B" w:rsidRPr="00CD795B" w:rsidRDefault="00CD795B" w:rsidP="000F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місячної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розраховується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наступною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формулою: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= (П1+П2)*</w:t>
      </w: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*Км2*</w:t>
      </w: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Кф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*t</w:t>
      </w:r>
      <w:proofErr w:type="gram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*%*</w:t>
      </w: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, де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місячний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(грн.);</w:t>
      </w:r>
    </w:p>
    <w:p w:rsidR="00041752" w:rsidRPr="00044ECC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П1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(м</w:t>
      </w: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 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площа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ТС,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(м</w:t>
      </w: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базова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грошова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квадратного метра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26D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Км2</w:t>
      </w: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426D0">
        <w:rPr>
          <w:rFonts w:ascii="Times New Roman" w:hAnsi="Times New Roman" w:cs="Times New Roman"/>
          <w:sz w:val="28"/>
          <w:szCs w:val="28"/>
          <w:lang w:val="uk-UA" w:eastAsia="ru-RU"/>
        </w:rPr>
        <w:t>– зональний коефіцієнт, що відповідає економіко – планувальній зоні розташування земельної ділянки;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Кф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коефіцієнт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функціонального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п.7.2.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71E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71EE9">
        <w:rPr>
          <w:rFonts w:ascii="Times New Roman" w:hAnsi="Times New Roman" w:cs="Times New Roman"/>
          <w:sz w:val="28"/>
          <w:szCs w:val="28"/>
          <w:lang w:val="uk-UA" w:eastAsia="ru-RU"/>
        </w:rPr>
        <w:t>кількість місяців розміщення ТС;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%  -  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відсоткова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ставка;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коефіцієнт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індексації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2013 року.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коефіцієнтів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функціонального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Кф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Торгівля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хлібобулочних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2,00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тютюнових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виробів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4,00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алкогольних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слабоалкогольних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напоїв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- 4,00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Продаж пива  - 3,20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продовольчих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2,60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зоологічних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2,60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Магазин з продажу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хутра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ювелірних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прикрас -  4,00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садово-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городнього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інвентарю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2,80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іграшок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2,80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книг,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поліграфічної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продукції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канцелярії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2,60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Продаж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широкого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вжитку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непродовольчих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товарів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3,00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Послуги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побутових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2,00</w:t>
      </w:r>
    </w:p>
    <w:p w:rsidR="00041752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Громадські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вбиральні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– 2,00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Інше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функціональне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 </w:t>
      </w:r>
      <w:r w:rsidRPr="00707B9F">
        <w:rPr>
          <w:rFonts w:ascii="Times New Roman" w:hAnsi="Times New Roman" w:cs="Times New Roman"/>
          <w:sz w:val="28"/>
          <w:szCs w:val="28"/>
          <w:lang w:eastAsia="ru-RU"/>
        </w:rPr>
        <w:t>3,00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змішаного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функціонального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літніх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більший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коефіцієнтів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7.3.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Відсоткова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ставка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нормативної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(%):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20 кв. м – 7 %;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20 до 30 кв. м – 8 %;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30 кв. м – 10 %.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7.4.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Міська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рада при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розважальних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власною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ініціативою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не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сплачує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7.5.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7.1, 7.2 та 7.3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Порядку, не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враховує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додану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нараховується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сплачується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додатково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норм чинного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вивченням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оформленням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благоустрою та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вартість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платникам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2668C" w:rsidRPr="00071EE9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7.6.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розірвання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суб’єкт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демонтаж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Pr="00707B9F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7.7. 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суб’єкт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самовільно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ТС,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розмістив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торговельний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майданчик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пайової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проводиться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подвійному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компенсація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завданих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збитків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неправомірними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діями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1752" w:rsidRDefault="00041752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7.8.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вступає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до ч. 5 ст. 59 Закону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», з дня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офіційного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B9F">
        <w:rPr>
          <w:rFonts w:ascii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707B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795B" w:rsidRPr="00CD795B" w:rsidRDefault="00CD795B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F3B26" w:rsidRPr="00BF3B26" w:rsidRDefault="00BF3B26" w:rsidP="000F4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41752" w:rsidRPr="00CD795B" w:rsidRDefault="00CD795B" w:rsidP="000F4F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Секретар міської ради                                             </w:t>
      </w:r>
      <w:r w:rsidRPr="00CD795B">
        <w:rPr>
          <w:rFonts w:ascii="Times New Roman" w:hAnsi="Times New Roman" w:cs="Times New Roman"/>
          <w:sz w:val="28"/>
          <w:szCs w:val="28"/>
          <w:lang w:val="uk-UA" w:eastAsia="ru-RU"/>
        </w:rPr>
        <w:t>Наталія ІВ</w:t>
      </w:r>
      <w:r w:rsidRPr="00CD79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АНЮТА</w:t>
      </w:r>
    </w:p>
    <w:p w:rsidR="00041752" w:rsidRPr="00041752" w:rsidRDefault="00041752" w:rsidP="000F4F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7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C40E2" w:rsidRDefault="001C40E2" w:rsidP="000F4F10">
      <w:pPr>
        <w:spacing w:after="0" w:line="240" w:lineRule="auto"/>
      </w:pPr>
    </w:p>
    <w:sectPr w:rsidR="001C40E2" w:rsidSect="00CA3D0F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391B"/>
    <w:multiLevelType w:val="multilevel"/>
    <w:tmpl w:val="F2F8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30E73"/>
    <w:multiLevelType w:val="multilevel"/>
    <w:tmpl w:val="075C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522F4"/>
    <w:multiLevelType w:val="hybridMultilevel"/>
    <w:tmpl w:val="DBD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3AB3"/>
    <w:multiLevelType w:val="multilevel"/>
    <w:tmpl w:val="3FB4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83663"/>
    <w:multiLevelType w:val="multilevel"/>
    <w:tmpl w:val="73AE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66DDB"/>
    <w:multiLevelType w:val="multilevel"/>
    <w:tmpl w:val="515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2"/>
    <w:rsid w:val="00041752"/>
    <w:rsid w:val="00044ECC"/>
    <w:rsid w:val="00071EE9"/>
    <w:rsid w:val="000F4F10"/>
    <w:rsid w:val="001C40E2"/>
    <w:rsid w:val="001E6AB3"/>
    <w:rsid w:val="0022041B"/>
    <w:rsid w:val="003C0C6C"/>
    <w:rsid w:val="0042668C"/>
    <w:rsid w:val="00445E4D"/>
    <w:rsid w:val="004A06D3"/>
    <w:rsid w:val="00564582"/>
    <w:rsid w:val="005F40F8"/>
    <w:rsid w:val="00685558"/>
    <w:rsid w:val="00707B9F"/>
    <w:rsid w:val="00925E72"/>
    <w:rsid w:val="009F5AFD"/>
    <w:rsid w:val="00B773DD"/>
    <w:rsid w:val="00BF3B26"/>
    <w:rsid w:val="00C13AC8"/>
    <w:rsid w:val="00CA3D0F"/>
    <w:rsid w:val="00CD795B"/>
    <w:rsid w:val="00D426D0"/>
    <w:rsid w:val="00E03F4D"/>
    <w:rsid w:val="00E262E9"/>
    <w:rsid w:val="00E31FFA"/>
    <w:rsid w:val="00E802F7"/>
    <w:rsid w:val="00E930B1"/>
    <w:rsid w:val="00EF5D66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52"/>
    <w:rPr>
      <w:b/>
      <w:bCs/>
    </w:rPr>
  </w:style>
  <w:style w:type="character" w:styleId="a5">
    <w:name w:val="Emphasis"/>
    <w:basedOn w:val="a0"/>
    <w:uiPriority w:val="20"/>
    <w:qFormat/>
    <w:rsid w:val="00041752"/>
    <w:rPr>
      <w:i/>
      <w:iCs/>
    </w:rPr>
  </w:style>
  <w:style w:type="character" w:styleId="a6">
    <w:name w:val="Hyperlink"/>
    <w:basedOn w:val="a0"/>
    <w:uiPriority w:val="99"/>
    <w:semiHidden/>
    <w:unhideWhenUsed/>
    <w:rsid w:val="000417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17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58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C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52"/>
    <w:rPr>
      <w:b/>
      <w:bCs/>
    </w:rPr>
  </w:style>
  <w:style w:type="character" w:styleId="a5">
    <w:name w:val="Emphasis"/>
    <w:basedOn w:val="a0"/>
    <w:uiPriority w:val="20"/>
    <w:qFormat/>
    <w:rsid w:val="00041752"/>
    <w:rPr>
      <w:i/>
      <w:iCs/>
    </w:rPr>
  </w:style>
  <w:style w:type="character" w:styleId="a6">
    <w:name w:val="Hyperlink"/>
    <w:basedOn w:val="a0"/>
    <w:uiPriority w:val="99"/>
    <w:semiHidden/>
    <w:unhideWhenUsed/>
    <w:rsid w:val="000417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4175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58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C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9273</Words>
  <Characters>5286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Таня</cp:lastModifiedBy>
  <cp:revision>23</cp:revision>
  <cp:lastPrinted>2021-12-03T11:23:00Z</cp:lastPrinted>
  <dcterms:created xsi:type="dcterms:W3CDTF">2021-11-18T14:05:00Z</dcterms:created>
  <dcterms:modified xsi:type="dcterms:W3CDTF">2021-12-03T11:24:00Z</dcterms:modified>
</cp:coreProperties>
</file>