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19" w:rsidRPr="001F016F" w:rsidRDefault="00E44019" w:rsidP="00C0572B">
      <w:pPr>
        <w:widowControl/>
        <w:tabs>
          <w:tab w:val="left" w:pos="6732"/>
        </w:tabs>
        <w:autoSpaceDE/>
        <w:autoSpaceDN/>
        <w:ind w:firstLine="4395"/>
        <w:rPr>
          <w:b/>
          <w:caps/>
          <w:sz w:val="20"/>
          <w:szCs w:val="28"/>
          <w:lang w:eastAsia="ru-RU"/>
        </w:rPr>
      </w:pPr>
      <w:r w:rsidRPr="00ED74C6">
        <w:rPr>
          <w:noProof/>
          <w:sz w:val="20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4pt;height:51.6pt;visibility:visible">
            <v:imagedata r:id="rId7" o:title=""/>
          </v:shape>
        </w:pict>
      </w:r>
    </w:p>
    <w:p w:rsidR="00E44019" w:rsidRDefault="00E44019" w:rsidP="000E1FAB">
      <w:pPr>
        <w:jc w:val="center"/>
        <w:rPr>
          <w:sz w:val="28"/>
          <w:szCs w:val="28"/>
        </w:rPr>
      </w:pPr>
    </w:p>
    <w:p w:rsidR="00E44019" w:rsidRPr="00F5204F" w:rsidRDefault="00E44019" w:rsidP="000E1FAB">
      <w:pPr>
        <w:jc w:val="center"/>
        <w:rPr>
          <w:sz w:val="28"/>
          <w:szCs w:val="28"/>
        </w:rPr>
      </w:pPr>
      <w:r w:rsidRPr="00F5204F">
        <w:rPr>
          <w:sz w:val="28"/>
          <w:szCs w:val="28"/>
        </w:rPr>
        <w:t>КИЇВСЬКА ОБЛАСТЬ</w:t>
      </w:r>
    </w:p>
    <w:p w:rsidR="00E44019" w:rsidRPr="00F5204F" w:rsidRDefault="00E44019" w:rsidP="000E1FAB">
      <w:pPr>
        <w:jc w:val="center"/>
        <w:rPr>
          <w:sz w:val="28"/>
          <w:szCs w:val="28"/>
        </w:rPr>
      </w:pPr>
    </w:p>
    <w:p w:rsidR="00E44019" w:rsidRPr="00F5204F" w:rsidRDefault="00E44019" w:rsidP="000E1FAB">
      <w:pPr>
        <w:jc w:val="center"/>
        <w:rPr>
          <w:b/>
          <w:sz w:val="28"/>
          <w:szCs w:val="28"/>
        </w:rPr>
      </w:pPr>
      <w:r w:rsidRPr="00F5204F">
        <w:rPr>
          <w:b/>
          <w:sz w:val="28"/>
          <w:szCs w:val="28"/>
        </w:rPr>
        <w:t>ТЕТІЇВСЬКА МІСЬКА РАДА</w:t>
      </w:r>
    </w:p>
    <w:p w:rsidR="00E44019" w:rsidRPr="00F5204F" w:rsidRDefault="00E44019" w:rsidP="000E1FAB">
      <w:pPr>
        <w:jc w:val="center"/>
        <w:rPr>
          <w:b/>
          <w:sz w:val="28"/>
          <w:szCs w:val="28"/>
        </w:rPr>
      </w:pPr>
      <w:r w:rsidRPr="00F5204F">
        <w:rPr>
          <w:b/>
          <w:sz w:val="28"/>
          <w:szCs w:val="28"/>
          <w:lang w:val="en-US"/>
        </w:rPr>
        <w:t>V</w:t>
      </w:r>
      <w:r w:rsidRPr="00F5204F">
        <w:rPr>
          <w:b/>
          <w:sz w:val="28"/>
          <w:szCs w:val="28"/>
        </w:rPr>
        <w:t>ІІІ СКЛИКАННЯ</w:t>
      </w:r>
    </w:p>
    <w:p w:rsidR="00E44019" w:rsidRDefault="00E44019" w:rsidP="00EC3631">
      <w:pPr>
        <w:spacing w:line="360" w:lineRule="auto"/>
        <w:ind w:right="-144"/>
        <w:jc w:val="center"/>
        <w:rPr>
          <w:b/>
          <w:color w:val="000000"/>
          <w:sz w:val="28"/>
          <w:szCs w:val="28"/>
        </w:rPr>
      </w:pPr>
    </w:p>
    <w:p w:rsidR="00E44019" w:rsidRPr="00973828" w:rsidRDefault="00E44019" w:rsidP="00EC3631">
      <w:pPr>
        <w:spacing w:line="360" w:lineRule="auto"/>
        <w:ind w:right="-14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П'ЯТДЕСЯТА  </w:t>
      </w:r>
      <w:r w:rsidRPr="00973828">
        <w:rPr>
          <w:b/>
          <w:color w:val="000000"/>
          <w:sz w:val="28"/>
          <w:szCs w:val="28"/>
        </w:rPr>
        <w:t>СЕСІЯ</w:t>
      </w:r>
    </w:p>
    <w:p w:rsidR="00E44019" w:rsidRPr="00973828" w:rsidRDefault="00E44019" w:rsidP="00EC3631">
      <w:pPr>
        <w:spacing w:line="480" w:lineRule="auto"/>
        <w:ind w:right="-144"/>
        <w:jc w:val="center"/>
        <w:rPr>
          <w:b/>
          <w:caps/>
          <w:color w:val="000000"/>
          <w:sz w:val="28"/>
          <w:szCs w:val="28"/>
        </w:rPr>
      </w:pPr>
      <w:r w:rsidRPr="00973828">
        <w:rPr>
          <w:b/>
          <w:caps/>
          <w:color w:val="000000"/>
          <w:sz w:val="28"/>
          <w:szCs w:val="28"/>
        </w:rPr>
        <w:t>рішення</w:t>
      </w:r>
    </w:p>
    <w:p w:rsidR="00E44019" w:rsidRPr="00513FA9" w:rsidRDefault="00E44019" w:rsidP="00DE5A0A">
      <w:pPr>
        <w:rPr>
          <w:b/>
          <w:color w:val="000000"/>
          <w:sz w:val="28"/>
          <w:szCs w:val="28"/>
        </w:rPr>
      </w:pPr>
      <w:r w:rsidRPr="00973828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5</w:t>
      </w:r>
      <w:r w:rsidRPr="0097382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червня</w:t>
      </w:r>
      <w:r w:rsidRPr="00973828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6</w:t>
      </w:r>
      <w:r w:rsidRPr="00973828">
        <w:rPr>
          <w:b/>
          <w:color w:val="000000"/>
          <w:sz w:val="28"/>
          <w:szCs w:val="28"/>
        </w:rPr>
        <w:t xml:space="preserve"> року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</w:t>
      </w:r>
      <w:r w:rsidRPr="00973828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>2093</w:t>
      </w:r>
      <w:r w:rsidRPr="00973828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50</w:t>
      </w:r>
      <w:r w:rsidRPr="00973828">
        <w:rPr>
          <w:b/>
          <w:color w:val="000000"/>
          <w:sz w:val="28"/>
          <w:szCs w:val="28"/>
        </w:rPr>
        <w:t>-</w:t>
      </w:r>
      <w:r w:rsidRPr="00973828">
        <w:rPr>
          <w:b/>
          <w:color w:val="000000"/>
          <w:sz w:val="28"/>
          <w:szCs w:val="28"/>
          <w:lang w:val="en-US"/>
        </w:rPr>
        <w:t>VIII</w:t>
      </w:r>
    </w:p>
    <w:p w:rsidR="00E44019" w:rsidRPr="000E1FAB" w:rsidRDefault="00E44019" w:rsidP="00DE5A0A">
      <w:pPr>
        <w:pStyle w:val="BodyText"/>
        <w:spacing w:before="2"/>
        <w:ind w:left="0"/>
        <w:rPr>
          <w:sz w:val="20"/>
        </w:rPr>
      </w:pPr>
    </w:p>
    <w:p w:rsidR="00E44019" w:rsidRDefault="00E44019" w:rsidP="00DE5A0A">
      <w:pPr>
        <w:pStyle w:val="BodyText"/>
        <w:ind w:left="0" w:right="-93"/>
        <w:rPr>
          <w:b/>
        </w:rPr>
      </w:pPr>
      <w:r w:rsidRPr="000E1FAB">
        <w:rPr>
          <w:b/>
        </w:rPr>
        <w:t>Про</w:t>
      </w:r>
      <w:r w:rsidRPr="000E1FAB">
        <w:rPr>
          <w:b/>
          <w:spacing w:val="1"/>
        </w:rPr>
        <w:t xml:space="preserve"> </w:t>
      </w:r>
      <w:r w:rsidRPr="000E1FAB">
        <w:rPr>
          <w:b/>
        </w:rPr>
        <w:t>затвердження</w:t>
      </w:r>
      <w:r w:rsidRPr="000E1FAB">
        <w:rPr>
          <w:b/>
          <w:spacing w:val="1"/>
        </w:rPr>
        <w:t xml:space="preserve"> </w:t>
      </w:r>
      <w:r w:rsidRPr="000E1FAB">
        <w:rPr>
          <w:b/>
        </w:rPr>
        <w:t>Програми</w:t>
      </w:r>
      <w:r w:rsidRPr="000E1FAB">
        <w:rPr>
          <w:b/>
          <w:spacing w:val="1"/>
        </w:rPr>
        <w:t xml:space="preserve"> </w:t>
      </w:r>
      <w:r>
        <w:rPr>
          <w:b/>
        </w:rPr>
        <w:t>підтримки</w:t>
      </w:r>
    </w:p>
    <w:p w:rsidR="00E44019" w:rsidRDefault="00E44019" w:rsidP="00DE5A0A">
      <w:pPr>
        <w:pStyle w:val="BodyText"/>
        <w:ind w:left="0" w:right="-93"/>
        <w:rPr>
          <w:b/>
        </w:rPr>
      </w:pPr>
      <w:r>
        <w:rPr>
          <w:b/>
        </w:rPr>
        <w:t>Тетіївського відділу Державної казначейської</w:t>
      </w:r>
    </w:p>
    <w:p w:rsidR="00E44019" w:rsidRPr="000E1FAB" w:rsidRDefault="00E44019" w:rsidP="00DE5A0A">
      <w:pPr>
        <w:pStyle w:val="BodyText"/>
        <w:ind w:left="0" w:right="-93"/>
        <w:rPr>
          <w:b/>
        </w:rPr>
      </w:pPr>
      <w:r>
        <w:rPr>
          <w:b/>
        </w:rPr>
        <w:t>служби України Київської області</w:t>
      </w:r>
      <w:r w:rsidRPr="000E1FAB">
        <w:rPr>
          <w:b/>
        </w:rPr>
        <w:t xml:space="preserve">  на</w:t>
      </w:r>
      <w:r w:rsidRPr="000E1FAB">
        <w:rPr>
          <w:b/>
          <w:spacing w:val="1"/>
        </w:rPr>
        <w:t xml:space="preserve"> </w:t>
      </w:r>
      <w:r w:rsidRPr="000E1FAB">
        <w:rPr>
          <w:b/>
        </w:rPr>
        <w:t>2026</w:t>
      </w:r>
      <w:r w:rsidRPr="000E1FAB">
        <w:rPr>
          <w:b/>
          <w:spacing w:val="-1"/>
        </w:rPr>
        <w:t xml:space="preserve"> </w:t>
      </w:r>
      <w:r w:rsidRPr="000E1FAB">
        <w:rPr>
          <w:b/>
        </w:rPr>
        <w:t>р</w:t>
      </w:r>
      <w:r>
        <w:rPr>
          <w:b/>
        </w:rPr>
        <w:t>і</w:t>
      </w:r>
      <w:r w:rsidRPr="000E1FAB">
        <w:rPr>
          <w:b/>
        </w:rPr>
        <w:t>к</w:t>
      </w:r>
    </w:p>
    <w:p w:rsidR="00E44019" w:rsidRDefault="00E44019" w:rsidP="00DE5A0A">
      <w:pPr>
        <w:pStyle w:val="BodyText"/>
        <w:ind w:left="0"/>
      </w:pPr>
    </w:p>
    <w:p w:rsidR="00E44019" w:rsidRDefault="00E44019" w:rsidP="00DE5A0A">
      <w:pPr>
        <w:pStyle w:val="BodyText"/>
        <w:ind w:left="0" w:right="203" w:firstLine="660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Закону</w:t>
      </w:r>
      <w:r>
        <w:rPr>
          <w:spacing w:val="-67"/>
        </w:rPr>
        <w:t xml:space="preserve"> </w:t>
      </w:r>
      <w:r>
        <w:t>України «Про місцеве самоврядування в Україні», Порядку виконання повноважень Державною казначейською службою України в особливому режимі в умовах воєнного стану, затвердженого Постановою Кабінету Міністрів України від 09 червня 2021 року №590 (із змінами), Порядку казначейського обслуговування місцевих бюджетів, затвердженого наказом Міністерства фінансів України від 23 серпня 2012 року №938 (із змінами), зареєстрованого в Міністерстві юстиції України 12 вересня 2012 року за №1569/21881, з метою підвищення ефективності роботи Тетіївського відділу Державної казначейської служби України Київської області (далі — Відділ Казначейства)</w:t>
      </w:r>
      <w:r>
        <w:rPr>
          <w:color w:val="000000"/>
          <w:lang w:eastAsia="ru-RU"/>
        </w:rPr>
        <w:t xml:space="preserve">, Тетіївська </w:t>
      </w:r>
      <w:r>
        <w:t>міська</w:t>
      </w:r>
      <w:r>
        <w:rPr>
          <w:spacing w:val="-1"/>
        </w:rPr>
        <w:t xml:space="preserve"> </w:t>
      </w:r>
      <w:r>
        <w:t xml:space="preserve">рада </w:t>
      </w:r>
    </w:p>
    <w:p w:rsidR="00E44019" w:rsidRDefault="00E44019" w:rsidP="00DE5A0A">
      <w:pPr>
        <w:pStyle w:val="BodyText"/>
        <w:ind w:left="0" w:right="203"/>
        <w:jc w:val="both"/>
      </w:pPr>
    </w:p>
    <w:p w:rsidR="00E44019" w:rsidRDefault="00E44019" w:rsidP="00DE5A0A">
      <w:pPr>
        <w:pStyle w:val="BodyText"/>
        <w:ind w:left="0" w:right="203"/>
        <w:jc w:val="center"/>
        <w:rPr>
          <w:b/>
        </w:rPr>
      </w:pPr>
      <w:r w:rsidRPr="001F016F">
        <w:rPr>
          <w:b/>
        </w:rPr>
        <w:t>ВИРІШИЛА:</w:t>
      </w:r>
      <w:r>
        <w:rPr>
          <w:b/>
        </w:rPr>
        <w:t xml:space="preserve"> </w:t>
      </w:r>
    </w:p>
    <w:p w:rsidR="00E44019" w:rsidRPr="000E1FAB" w:rsidRDefault="00E44019" w:rsidP="00DE5A0A">
      <w:pPr>
        <w:pStyle w:val="BodyText"/>
        <w:ind w:left="0" w:right="203"/>
        <w:jc w:val="center"/>
        <w:rPr>
          <w:b/>
        </w:rPr>
      </w:pPr>
    </w:p>
    <w:p w:rsidR="00E44019" w:rsidRDefault="00E44019" w:rsidP="00DE5A0A">
      <w:pPr>
        <w:pStyle w:val="ListParagraph"/>
        <w:tabs>
          <w:tab w:val="left" w:pos="330"/>
        </w:tabs>
        <w:spacing w:line="254" w:lineRule="auto"/>
        <w:ind w:left="0" w:right="202" w:firstLine="0"/>
        <w:rPr>
          <w:sz w:val="28"/>
        </w:rPr>
      </w:pPr>
      <w:r>
        <w:rPr>
          <w:sz w:val="28"/>
        </w:rPr>
        <w:t xml:space="preserve">1. Затвердити Програму </w:t>
      </w:r>
      <w:r>
        <w:rPr>
          <w:sz w:val="28"/>
          <w:szCs w:val="28"/>
        </w:rPr>
        <w:t>підтримки Тетіївського відділу Державної казначейської служби України Київської області на 2026 рік</w:t>
      </w:r>
      <w:r w:rsidRPr="00A31357">
        <w:rPr>
          <w:sz w:val="28"/>
          <w:szCs w:val="28"/>
        </w:rPr>
        <w:t xml:space="preserve"> </w:t>
      </w:r>
      <w:r>
        <w:rPr>
          <w:sz w:val="28"/>
        </w:rPr>
        <w:t>(додається).</w:t>
      </w:r>
    </w:p>
    <w:p w:rsidR="00E44019" w:rsidRDefault="00E44019" w:rsidP="00DE5A0A">
      <w:pPr>
        <w:pStyle w:val="ListParagraph"/>
        <w:tabs>
          <w:tab w:val="left" w:pos="330"/>
        </w:tabs>
        <w:spacing w:line="254" w:lineRule="auto"/>
        <w:ind w:left="0" w:right="202" w:firstLine="0"/>
        <w:rPr>
          <w:sz w:val="28"/>
        </w:rPr>
      </w:pPr>
    </w:p>
    <w:p w:rsidR="00E44019" w:rsidRDefault="00E44019" w:rsidP="00DE5A0A">
      <w:pPr>
        <w:pStyle w:val="ListParagraph"/>
        <w:tabs>
          <w:tab w:val="left" w:pos="330"/>
        </w:tabs>
        <w:spacing w:line="254" w:lineRule="auto"/>
        <w:ind w:left="0" w:right="202" w:firstLine="0"/>
        <w:rPr>
          <w:sz w:val="28"/>
        </w:rPr>
      </w:pPr>
      <w:r>
        <w:rPr>
          <w:spacing w:val="1"/>
          <w:sz w:val="28"/>
        </w:rPr>
        <w:t xml:space="preserve">2. Управлінню </w:t>
      </w:r>
      <w:r>
        <w:rPr>
          <w:sz w:val="28"/>
        </w:rPr>
        <w:t>фінансів</w:t>
      </w:r>
      <w:r>
        <w:rPr>
          <w:spacing w:val="1"/>
          <w:sz w:val="28"/>
        </w:rPr>
        <w:t xml:space="preserve"> </w:t>
      </w:r>
      <w:r>
        <w:rPr>
          <w:sz w:val="28"/>
        </w:rPr>
        <w:t>Тетіївської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передбачити</w:t>
      </w:r>
      <w:r>
        <w:rPr>
          <w:spacing w:val="-1"/>
          <w:sz w:val="28"/>
        </w:rPr>
        <w:t xml:space="preserve"> </w:t>
      </w:r>
      <w:r>
        <w:rPr>
          <w:sz w:val="28"/>
        </w:rPr>
        <w:t>кошти</w:t>
      </w:r>
      <w:r>
        <w:rPr>
          <w:spacing w:val="-1"/>
          <w:sz w:val="28"/>
        </w:rPr>
        <w:t xml:space="preserve"> </w:t>
      </w:r>
      <w:r>
        <w:rPr>
          <w:sz w:val="28"/>
        </w:rPr>
        <w:t>на виконання Програми.</w:t>
      </w:r>
    </w:p>
    <w:p w:rsidR="00E44019" w:rsidRPr="000E1FAB" w:rsidRDefault="00E44019" w:rsidP="00DE5A0A">
      <w:pPr>
        <w:pStyle w:val="ListParagraph"/>
        <w:tabs>
          <w:tab w:val="left" w:pos="330"/>
        </w:tabs>
        <w:spacing w:line="254" w:lineRule="auto"/>
        <w:ind w:left="0" w:right="202" w:firstLine="0"/>
        <w:rPr>
          <w:sz w:val="28"/>
        </w:rPr>
      </w:pPr>
    </w:p>
    <w:p w:rsidR="00E44019" w:rsidRPr="00DE5A0A" w:rsidRDefault="00E44019" w:rsidP="00DE5A0A">
      <w:pPr>
        <w:pStyle w:val="Heading1"/>
        <w:tabs>
          <w:tab w:val="left" w:pos="142"/>
          <w:tab w:val="left" w:pos="284"/>
          <w:tab w:val="left" w:pos="330"/>
          <w:tab w:val="left" w:pos="567"/>
        </w:tabs>
        <w:ind w:left="0" w:right="1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 </w:t>
      </w:r>
      <w:r w:rsidRPr="00DE5A0A">
        <w:rPr>
          <w:b w:val="0"/>
          <w:sz w:val="28"/>
          <w:szCs w:val="28"/>
        </w:rPr>
        <w:t>Контроль за виконання даного рішення покласти на заступника міського голови з гуманітарних питань Дячук Н.А. та на постійну депутатську комісію з питань планування, бюджету, фінансів та соціально-економічного розвитку (голова комісії  Кирилюк В.А.).</w:t>
      </w:r>
    </w:p>
    <w:p w:rsidR="00E44019" w:rsidRDefault="00E44019" w:rsidP="00DE5A0A">
      <w:pPr>
        <w:widowControl/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</w:p>
    <w:p w:rsidR="00E44019" w:rsidRPr="001F016F" w:rsidRDefault="00E44019" w:rsidP="00DE5A0A">
      <w:pPr>
        <w:widowControl/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F016F">
        <w:rPr>
          <w:sz w:val="28"/>
          <w:szCs w:val="28"/>
        </w:rPr>
        <w:t xml:space="preserve">Міський </w:t>
      </w:r>
      <w:r w:rsidRPr="001F016F">
        <w:rPr>
          <w:sz w:val="28"/>
          <w:szCs w:val="28"/>
          <w:lang w:val="ru-RU"/>
        </w:rPr>
        <w:t xml:space="preserve"> голова                                       </w:t>
      </w:r>
      <w:r w:rsidRPr="001F016F">
        <w:rPr>
          <w:sz w:val="28"/>
          <w:szCs w:val="28"/>
          <w:lang w:val="ru-RU"/>
        </w:rPr>
        <w:tab/>
      </w:r>
      <w:r w:rsidRPr="001F016F">
        <w:rPr>
          <w:sz w:val="28"/>
          <w:szCs w:val="28"/>
          <w:lang w:val="ru-RU"/>
        </w:rPr>
        <w:tab/>
      </w:r>
      <w:r w:rsidRPr="001F016F">
        <w:rPr>
          <w:sz w:val="28"/>
          <w:szCs w:val="28"/>
        </w:rPr>
        <w:t>Богдан БАЛАГУРА</w:t>
      </w:r>
    </w:p>
    <w:p w:rsidR="00E44019" w:rsidRDefault="00E44019" w:rsidP="00DE5A0A"/>
    <w:p w:rsidR="00E44019" w:rsidRDefault="00E44019" w:rsidP="00DE5A0A"/>
    <w:p w:rsidR="00E44019" w:rsidRPr="00C71F82" w:rsidRDefault="00E44019" w:rsidP="00AC61FC">
      <w:pPr>
        <w:pStyle w:val="BodyText2"/>
        <w:tabs>
          <w:tab w:val="left" w:pos="142"/>
        </w:tabs>
        <w:ind w:left="284"/>
        <w:rPr>
          <w:sz w:val="24"/>
          <w:szCs w:val="24"/>
        </w:rPr>
      </w:pPr>
      <w:r w:rsidRPr="00C71F82">
        <w:rPr>
          <w:sz w:val="24"/>
          <w:szCs w:val="24"/>
        </w:rPr>
        <w:t>Начальник відділу</w:t>
      </w:r>
      <w:r>
        <w:rPr>
          <w:sz w:val="24"/>
          <w:szCs w:val="24"/>
        </w:rPr>
        <w:t xml:space="preserve"> п</w:t>
      </w:r>
      <w:r w:rsidRPr="00C71F82">
        <w:rPr>
          <w:sz w:val="24"/>
          <w:szCs w:val="24"/>
        </w:rPr>
        <w:t>равового забезпечення</w:t>
      </w:r>
      <w:r>
        <w:rPr>
          <w:sz w:val="24"/>
          <w:szCs w:val="24"/>
        </w:rPr>
        <w:t xml:space="preserve">                                    Наталія СКЛАДЕНА</w:t>
      </w:r>
    </w:p>
    <w:p w:rsidR="00E44019" w:rsidRDefault="00E44019" w:rsidP="00DE5A0A">
      <w:pPr>
        <w:sectPr w:rsidR="00E44019" w:rsidSect="00C0572B">
          <w:headerReference w:type="default" r:id="rId8"/>
          <w:type w:val="continuous"/>
          <w:pgSz w:w="11910" w:h="16840"/>
          <w:pgMar w:top="142" w:right="500" w:bottom="280" w:left="1580" w:header="710" w:footer="720" w:gutter="0"/>
          <w:pgNumType w:start="1"/>
          <w:cols w:space="720"/>
        </w:sectPr>
      </w:pPr>
    </w:p>
    <w:tbl>
      <w:tblPr>
        <w:tblW w:w="0" w:type="auto"/>
        <w:tblInd w:w="108" w:type="dxa"/>
        <w:tblLayout w:type="fixed"/>
        <w:tblLook w:val="0000"/>
      </w:tblPr>
      <w:tblGrid>
        <w:gridCol w:w="5612"/>
        <w:gridCol w:w="4027"/>
      </w:tblGrid>
      <w:tr w:rsidR="00E44019" w:rsidTr="00DA2B0B">
        <w:trPr>
          <w:trHeight w:val="2551"/>
        </w:trPr>
        <w:tc>
          <w:tcPr>
            <w:tcW w:w="5612" w:type="dxa"/>
          </w:tcPr>
          <w:p w:rsidR="00E44019" w:rsidRDefault="00E44019" w:rsidP="00DA2B0B">
            <w:pPr>
              <w:tabs>
                <w:tab w:val="left" w:pos="3420"/>
              </w:tabs>
              <w:snapToGrid w:val="0"/>
              <w:rPr>
                <w:sz w:val="28"/>
              </w:rPr>
            </w:pPr>
          </w:p>
        </w:tc>
        <w:tc>
          <w:tcPr>
            <w:tcW w:w="4027" w:type="dxa"/>
          </w:tcPr>
          <w:p w:rsidR="00E44019" w:rsidRDefault="00E44019" w:rsidP="00DA2B0B">
            <w:pPr>
              <w:tabs>
                <w:tab w:val="left" w:pos="3420"/>
              </w:tabs>
              <w:spacing w:line="360" w:lineRule="auto"/>
              <w:rPr>
                <w:sz w:val="28"/>
              </w:rPr>
            </w:pPr>
            <w:r w:rsidRPr="002F1A77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ЗАТВЕРДЖЕНО</w:t>
            </w:r>
          </w:p>
          <w:p w:rsidR="00E44019" w:rsidRDefault="00E44019" w:rsidP="00DA2B0B">
            <w:pPr>
              <w:tabs>
                <w:tab w:val="left" w:pos="3420"/>
              </w:tabs>
              <w:ind w:left="92"/>
              <w:rPr>
                <w:sz w:val="28"/>
              </w:rPr>
            </w:pPr>
            <w:r>
              <w:rPr>
                <w:sz w:val="28"/>
              </w:rPr>
              <w:t>Рішення п’ятдесятої сесії</w:t>
            </w:r>
          </w:p>
          <w:p w:rsidR="00E44019" w:rsidRDefault="00E44019" w:rsidP="00DA2B0B">
            <w:pPr>
              <w:tabs>
                <w:tab w:val="left" w:pos="3420"/>
              </w:tabs>
              <w:ind w:left="92"/>
              <w:rPr>
                <w:sz w:val="28"/>
              </w:rPr>
            </w:pPr>
            <w:r>
              <w:rPr>
                <w:sz w:val="28"/>
              </w:rPr>
              <w:t xml:space="preserve">Тетіївської міської ради </w:t>
            </w:r>
          </w:p>
          <w:p w:rsidR="00E44019" w:rsidRDefault="00E44019" w:rsidP="00DA2B0B">
            <w:pPr>
              <w:tabs>
                <w:tab w:val="left" w:pos="3420"/>
              </w:tabs>
              <w:ind w:left="92"/>
              <w:rPr>
                <w:sz w:val="28"/>
              </w:rPr>
            </w:pPr>
            <w:r>
              <w:rPr>
                <w:sz w:val="28"/>
                <w:lang w:val="en-US"/>
              </w:rPr>
              <w:t>VIII</w:t>
            </w:r>
            <w:r w:rsidRPr="002429C9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скликання </w:t>
            </w:r>
          </w:p>
          <w:p w:rsidR="00E44019" w:rsidRPr="00EC3631" w:rsidRDefault="00E44019" w:rsidP="00DA2B0B">
            <w:pPr>
              <w:tabs>
                <w:tab w:val="left" w:pos="3420"/>
              </w:tabs>
              <w:ind w:left="92"/>
              <w:rPr>
                <w:lang w:val="ru-RU"/>
              </w:rPr>
            </w:pPr>
            <w:r>
              <w:rPr>
                <w:sz w:val="28"/>
              </w:rPr>
              <w:t>від 25 червня 2026 року           № -50-</w:t>
            </w:r>
            <w:r>
              <w:rPr>
                <w:sz w:val="28"/>
                <w:lang w:val="en-US"/>
              </w:rPr>
              <w:t>VIII</w:t>
            </w:r>
          </w:p>
        </w:tc>
      </w:tr>
    </w:tbl>
    <w:p w:rsidR="00E44019" w:rsidRDefault="00E44019" w:rsidP="00DE5A0A">
      <w:pPr>
        <w:pStyle w:val="NormalWeb"/>
        <w:ind w:firstLine="567"/>
        <w:jc w:val="both"/>
        <w:rPr>
          <w:sz w:val="28"/>
          <w:szCs w:val="28"/>
          <w:lang w:val="uk-UA"/>
        </w:rPr>
      </w:pPr>
    </w:p>
    <w:p w:rsidR="00E44019" w:rsidRDefault="00E44019" w:rsidP="00DE5A0A">
      <w:pPr>
        <w:rPr>
          <w:sz w:val="28"/>
          <w:szCs w:val="28"/>
        </w:rPr>
      </w:pPr>
    </w:p>
    <w:p w:rsidR="00E44019" w:rsidRDefault="00E44019" w:rsidP="00DE5A0A">
      <w:pPr>
        <w:rPr>
          <w:sz w:val="28"/>
          <w:szCs w:val="28"/>
        </w:rPr>
      </w:pPr>
    </w:p>
    <w:p w:rsidR="00E44019" w:rsidRDefault="00E44019" w:rsidP="00DE5A0A">
      <w:pPr>
        <w:rPr>
          <w:sz w:val="28"/>
          <w:szCs w:val="28"/>
        </w:rPr>
      </w:pPr>
    </w:p>
    <w:p w:rsidR="00E44019" w:rsidRDefault="00E44019" w:rsidP="00DE5A0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ПРОГРАМА</w:t>
      </w:r>
    </w:p>
    <w:p w:rsidR="00E44019" w:rsidRDefault="00E44019" w:rsidP="00DE5A0A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підтримки Тетіївського відділу Державної казначейської служби України Київської області</w:t>
      </w:r>
    </w:p>
    <w:p w:rsidR="00E44019" w:rsidRDefault="00E44019" w:rsidP="00DE5A0A">
      <w:pPr>
        <w:tabs>
          <w:tab w:val="left" w:pos="3420"/>
        </w:tabs>
        <w:jc w:val="center"/>
      </w:pPr>
      <w:r>
        <w:rPr>
          <w:sz w:val="28"/>
          <w:szCs w:val="28"/>
        </w:rPr>
        <w:t>на 2026 рік</w:t>
      </w: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м.Тетіїв</w:t>
      </w:r>
    </w:p>
    <w:p w:rsidR="00E44019" w:rsidRDefault="00E44019" w:rsidP="00DE5A0A">
      <w:pPr>
        <w:tabs>
          <w:tab w:val="left" w:pos="3420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2026 рік</w:t>
      </w:r>
    </w:p>
    <w:p w:rsidR="00E44019" w:rsidRDefault="00E44019" w:rsidP="00DE5A0A">
      <w:pPr>
        <w:tabs>
          <w:tab w:val="left" w:pos="3420"/>
        </w:tabs>
        <w:jc w:val="center"/>
        <w:rPr>
          <w:b/>
          <w:bCs/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ПАСПОРТ </w:t>
      </w:r>
    </w:p>
    <w:p w:rsidR="00E44019" w:rsidRPr="002F1A77" w:rsidRDefault="00E44019" w:rsidP="00DE5A0A">
      <w:pPr>
        <w:tabs>
          <w:tab w:val="left" w:pos="3420"/>
        </w:tabs>
        <w:jc w:val="center"/>
      </w:pPr>
      <w:r>
        <w:rPr>
          <w:sz w:val="28"/>
          <w:szCs w:val="28"/>
        </w:rPr>
        <w:t>Програми підтримки Тетіївського відділу Державної казначейської служби України Київської області на 2026 рік (далі — Програма)</w:t>
      </w:r>
    </w:p>
    <w:p w:rsidR="00E44019" w:rsidRPr="002F1A77" w:rsidRDefault="00E44019" w:rsidP="00DE5A0A">
      <w:pPr>
        <w:tabs>
          <w:tab w:val="left" w:pos="3420"/>
        </w:tabs>
        <w:jc w:val="center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4"/>
        <w:gridCol w:w="7114"/>
      </w:tblGrid>
      <w:tr w:rsidR="00E44019" w:rsidTr="00DA2B0B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>Назва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Pr="00166FCE" w:rsidRDefault="00E44019" w:rsidP="00DA2B0B">
            <w:pPr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 w:rsidRPr="00166FCE">
              <w:rPr>
                <w:sz w:val="24"/>
                <w:szCs w:val="24"/>
              </w:rPr>
              <w:t xml:space="preserve">Програма Тетіївського відділу Державної казначейської служби України Київської області на 2026 рік 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>Розробник Програми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Pr="00166FCE" w:rsidRDefault="00E44019" w:rsidP="00DA2B0B">
            <w:pPr>
              <w:tabs>
                <w:tab w:val="left" w:pos="3420"/>
              </w:tabs>
              <w:jc w:val="center"/>
              <w:rPr>
                <w:sz w:val="24"/>
                <w:szCs w:val="24"/>
              </w:rPr>
            </w:pPr>
            <w:r w:rsidRPr="00166FCE">
              <w:rPr>
                <w:sz w:val="24"/>
                <w:szCs w:val="24"/>
              </w:rPr>
              <w:t>Тетіївський відділ Державної казначейської служби України Київської області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>Виконавці Програми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rPr>
                <w:lang w:val="uk-UA"/>
              </w:rPr>
              <w:t xml:space="preserve">Виконавчий комітет </w:t>
            </w:r>
            <w:r>
              <w:t>Тетіївськ</w:t>
            </w:r>
            <w:r>
              <w:rPr>
                <w:lang w:val="uk-UA"/>
              </w:rPr>
              <w:t>ої</w:t>
            </w:r>
            <w:r>
              <w:t xml:space="preserve"> міськ</w:t>
            </w:r>
            <w:r>
              <w:rPr>
                <w:lang w:val="uk-UA"/>
              </w:rPr>
              <w:t>ої</w:t>
            </w:r>
            <w:r>
              <w:t xml:space="preserve"> рад</w:t>
            </w:r>
            <w:r>
              <w:rPr>
                <w:lang w:val="uk-UA"/>
              </w:rPr>
              <w:t>и</w:t>
            </w:r>
            <w:r>
              <w:t xml:space="preserve">, </w:t>
            </w:r>
            <w:r>
              <w:rPr>
                <w:lang w:val="uk-UA"/>
              </w:rPr>
              <w:t>Тетіївський відділ Державної казначейської служби України Київської області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>Головний розпорядник бюджетних коштів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rPr>
                <w:lang w:val="uk-UA"/>
              </w:rPr>
              <w:t xml:space="preserve">Виконавчий комітет </w:t>
            </w:r>
            <w:r>
              <w:t>Тетіївськ</w:t>
            </w:r>
            <w:r>
              <w:rPr>
                <w:lang w:val="uk-UA"/>
              </w:rPr>
              <w:t>ої</w:t>
            </w:r>
            <w:r>
              <w:t xml:space="preserve"> міськ</w:t>
            </w:r>
            <w:r>
              <w:rPr>
                <w:lang w:val="uk-UA"/>
              </w:rPr>
              <w:t>ої</w:t>
            </w:r>
            <w:r>
              <w:t xml:space="preserve"> рад</w:t>
            </w:r>
            <w:r>
              <w:rPr>
                <w:lang w:val="uk-UA"/>
              </w:rPr>
              <w:t>и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 xml:space="preserve">Джерела фінансування 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>Кошти бюджету Тетіївської міської територіальної громади та інші кошти, не заборонені чинним законодавством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>Учасники Програми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rPr>
                <w:lang w:val="uk-UA"/>
              </w:rPr>
              <w:t xml:space="preserve">Виконавчий комітет </w:t>
            </w:r>
            <w:r>
              <w:t>Тетіївськ</w:t>
            </w:r>
            <w:r>
              <w:rPr>
                <w:lang w:val="uk-UA"/>
              </w:rPr>
              <w:t>ої</w:t>
            </w:r>
            <w:r>
              <w:t xml:space="preserve"> міськ</w:t>
            </w:r>
            <w:r>
              <w:rPr>
                <w:lang w:val="uk-UA"/>
              </w:rPr>
              <w:t>ої</w:t>
            </w:r>
            <w:r>
              <w:t xml:space="preserve"> рад</w:t>
            </w:r>
            <w:r>
              <w:rPr>
                <w:lang w:val="uk-UA"/>
              </w:rPr>
              <w:t>и, Тетіївський відділ Державної казначейської служби України Київської області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>Фінансово-економічне обгрунтування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>Фінансування Програми здійснюватиметься з бюджету Тетіївської міської територіальної громади, виходячи з його приорітетів та реальних можливостей, інших джерел, не заборонених законодавством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>Термін реалізації програми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rPr>
                <w:lang w:val="uk-UA"/>
              </w:rPr>
              <w:t>2026 рік</w:t>
            </w:r>
          </w:p>
        </w:tc>
      </w:tr>
      <w:tr w:rsidR="00E44019" w:rsidTr="00DA2B0B"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>Загальний обсяг фінансових ресурсів, необхідних для реалізації Програми</w:t>
            </w: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  <w:jc w:val="center"/>
            </w:pPr>
            <w:r>
              <w:t xml:space="preserve">Всього: </w:t>
            </w:r>
            <w:r>
              <w:rPr>
                <w:lang w:val="uk-UA"/>
              </w:rPr>
              <w:t>6</w:t>
            </w:r>
            <w:r w:rsidRPr="002F1A77">
              <w:t>1,0</w:t>
            </w:r>
            <w:r>
              <w:rPr>
                <w:lang w:val="uk-UA"/>
              </w:rPr>
              <w:t xml:space="preserve"> тис.грн., в тому числі 2026 рік — 6</w:t>
            </w:r>
            <w:r w:rsidRPr="002F1A77">
              <w:t>1,0</w:t>
            </w:r>
            <w:r>
              <w:rPr>
                <w:lang w:val="uk-UA"/>
              </w:rPr>
              <w:t xml:space="preserve"> тис.грн.</w:t>
            </w:r>
          </w:p>
        </w:tc>
      </w:tr>
    </w:tbl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center"/>
      </w:pPr>
      <w:r>
        <w:rPr>
          <w:b/>
          <w:bCs/>
          <w:sz w:val="28"/>
          <w:szCs w:val="28"/>
        </w:rPr>
        <w:t>2. Загальні положення</w:t>
      </w:r>
    </w:p>
    <w:p w:rsidR="00E44019" w:rsidRDefault="00E44019" w:rsidP="00DE5A0A">
      <w:pPr>
        <w:tabs>
          <w:tab w:val="left" w:pos="3420"/>
        </w:tabs>
        <w:jc w:val="center"/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Програму розроблено на основі Бюджетного кодексу України, Закону України «Про місцеве самоврядування в Україні», Порядку виконання повноважень Державною казначейською службою України в особливому режимі в умовах воєнного стану, затвердженого Постановою Кабінету Міністрів України від 09 червня 2021 року №590 (із змінами), Порядку казначейського обслуговування місцевих бюджетів, затвердженого наказом Міністерства фінансів України від 23 серпня 2012 року №938 (із змінами), зареєстрованого в Міністерстві юстиції України 12 вересня 2012 року за №1569/21881, з метою підвищення ефективності роботи Тетіївського відділу Державної казначейської служби України Київської області (далі — Відділ Казначейства).</w:t>
      </w:r>
    </w:p>
    <w:p w:rsidR="00E44019" w:rsidRPr="002F1A77" w:rsidRDefault="00E44019" w:rsidP="00DE5A0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       У </w:t>
      </w:r>
      <w:r w:rsidRPr="002F1A77">
        <w:rPr>
          <w:sz w:val="28"/>
          <w:szCs w:val="28"/>
        </w:rPr>
        <w:t>зв`язку</w:t>
      </w:r>
      <w:r>
        <w:rPr>
          <w:sz w:val="28"/>
          <w:szCs w:val="28"/>
        </w:rPr>
        <w:t xml:space="preserve"> із недостатнім наповненням та дефіцитом Державного бюджету України є потреба у здійсненні додаткового фінансування матеріальних потреб Відділу Казначейства з бюджету  </w:t>
      </w:r>
      <w:r w:rsidRPr="002F1A77">
        <w:rPr>
          <w:sz w:val="28"/>
          <w:szCs w:val="28"/>
        </w:rPr>
        <w:t>Тетіївської міської територіальної громади.</w:t>
      </w:r>
    </w:p>
    <w:p w:rsidR="00E44019" w:rsidRPr="002F1A77" w:rsidRDefault="00E44019" w:rsidP="00DE5A0A">
      <w:pPr>
        <w:tabs>
          <w:tab w:val="left" w:pos="0"/>
        </w:tabs>
        <w:jc w:val="both"/>
      </w:pP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Визначення проблеми, на розв'язання якої спрямована Програма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Питання прозорості бюджетного процесу, ефективності використання наявних фінансових ресурсів та цільового спрямування бюджетних коштів місцевих бюджетів набувають особливої актуальності в умовах запровадження нових норм бюджетного законодавства, які сприяють більш ефективному їх використанню.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Казначейське обслуговування бюджетних коштів на сучасному етапі в Україні виступає одним з головних елементів забезпечення і підвищення стабільності та захищеності бюджетної системи.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Основним завданням органів казначейства в процесі обслуговування місцевих бюджетів є сприяння виконанню бюджетної політики місцевого самоврядування та здійсненню ефективного управління коштами місцевих бюджетів.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 метою вирішення цих питань та враховуючи недостатність коштів державного бюджету на утримання Відділу Казначейства, необхідне впровадження комплексних заходів, у зв</w:t>
      </w:r>
      <w:r w:rsidRPr="002F1A77">
        <w:rPr>
          <w:sz w:val="28"/>
          <w:szCs w:val="28"/>
        </w:rPr>
        <w:t>`</w:t>
      </w:r>
      <w:r>
        <w:rPr>
          <w:sz w:val="28"/>
          <w:szCs w:val="28"/>
        </w:rPr>
        <w:t>язку з чим і зумовлена необхідність розробки, прийняття та виконання Програми.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Мета Програми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Метою Програми є покращення умов обслуговування розпорядників та одержувачів бюджетних коштів  </w:t>
      </w:r>
      <w:r w:rsidRPr="002F1A77">
        <w:rPr>
          <w:sz w:val="28"/>
          <w:szCs w:val="28"/>
        </w:rPr>
        <w:t xml:space="preserve">Тетіївської міської територіальної громади, </w:t>
      </w:r>
      <w:r>
        <w:rPr>
          <w:sz w:val="28"/>
          <w:szCs w:val="28"/>
        </w:rPr>
        <w:t>створення сприятливих умов праці фахівцям Відділу Казначейства,  розпорядникам та одержувачам бюджетних коштів для виконання ними повноважень на належному рівні, своєчасної та якісної реалізації державної політики у сфері  казначейського обслуговування бюджетних коштів, усунення причин та умов вчинення порушень бюджетного законодавства.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Фінансове забезпечення Програми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Реалізація Програми проводиться за рахунок коштів бюджету  Тетіївської міської територіальної громади шляхом надання міжбюджетного трансферту до державного бюджету.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Загальний обсяг фінансових ресурсів, необхідних для реалізації Програми, викладений у Додатку 1 до Програми.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Очікувані результати виконання Програми,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визначення її ефективності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Виконання Програми дасть змогу:</w:t>
      </w:r>
    </w:p>
    <w:p w:rsidR="00E44019" w:rsidRDefault="00E44019" w:rsidP="00DE5A0A">
      <w:pPr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покращити рівень та прискорити процес  казначейського обслуговування розпорядників та одержувачів бюджетних коштів;</w:t>
      </w:r>
    </w:p>
    <w:p w:rsidR="00E44019" w:rsidRDefault="00E44019" w:rsidP="00DE5A0A">
      <w:pPr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забезпечити якісне функціонування системи електронної звітності;</w:t>
      </w:r>
    </w:p>
    <w:p w:rsidR="00E44019" w:rsidRDefault="00E44019" w:rsidP="00DE5A0A">
      <w:pPr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системність процесу  казначейського обслуговування місцевих бюджетів у затверджених обсягах за рахунок модернізації роботи  Відділу Казначейства;</w:t>
      </w:r>
    </w:p>
    <w:p w:rsidR="00E44019" w:rsidRDefault="00E44019" w:rsidP="00DE5A0A">
      <w:pPr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створити умови для партнерських взаємовідносин  Тетіївського відділу Державної казначейської служби України Київської області з органами місцевого самоврядування, розпорядниками та одержувачами бюджетних коштів;</w:t>
      </w:r>
    </w:p>
    <w:p w:rsidR="00E44019" w:rsidRDefault="00E44019" w:rsidP="00DE5A0A">
      <w:pPr>
        <w:tabs>
          <w:tab w:val="left" w:pos="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підвищити оперативність та якість відповідей на звернення громадян.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7.Координація та контроль за ходом виконання Програми</w:t>
      </w: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Координацію за ходом виконання заходів Програми здійснює  Виконавчий комітет Тетіївської міської ради.</w:t>
      </w: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Програми здійснює профільна постійна комісія Тетіївської міської ради.</w:t>
      </w: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 Заходи Програми</w:t>
      </w:r>
    </w:p>
    <w:p w:rsidR="00E44019" w:rsidRDefault="00E44019" w:rsidP="00DE5A0A">
      <w:pPr>
        <w:tabs>
          <w:tab w:val="left" w:pos="0"/>
        </w:tabs>
        <w:ind w:firstLine="680"/>
        <w:jc w:val="center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Перелік заходів, завдань Програми, необхідних для її реалізації, викладений в додатку до Програми.</w:t>
      </w: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  <w:t xml:space="preserve">                                    Наталія ІВАНЮТА</w:t>
      </w: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both"/>
      </w:pPr>
    </w:p>
    <w:p w:rsidR="00E44019" w:rsidRDefault="00E44019" w:rsidP="00DE5A0A">
      <w:pPr>
        <w:tabs>
          <w:tab w:val="left" w:pos="3420"/>
        </w:tabs>
        <w:jc w:val="right"/>
      </w:pPr>
    </w:p>
    <w:p w:rsidR="00E44019" w:rsidRDefault="00E44019" w:rsidP="00DE5A0A">
      <w:pPr>
        <w:tabs>
          <w:tab w:val="left" w:pos="3420"/>
        </w:tabs>
        <w:jc w:val="right"/>
      </w:pPr>
    </w:p>
    <w:p w:rsidR="00E44019" w:rsidRDefault="00E44019" w:rsidP="00DE5A0A">
      <w:pPr>
        <w:tabs>
          <w:tab w:val="left" w:pos="3420"/>
        </w:tabs>
        <w:jc w:val="right"/>
      </w:pPr>
      <w:r>
        <w:t>Додаток</w:t>
      </w:r>
    </w:p>
    <w:p w:rsidR="00E44019" w:rsidRDefault="00E44019" w:rsidP="00DE5A0A">
      <w:pPr>
        <w:tabs>
          <w:tab w:val="left" w:pos="3420"/>
        </w:tabs>
        <w:jc w:val="right"/>
      </w:pPr>
      <w:r>
        <w:t xml:space="preserve">до Програми підтримки </w:t>
      </w:r>
    </w:p>
    <w:p w:rsidR="00E44019" w:rsidRDefault="00E44019" w:rsidP="00DE5A0A">
      <w:pPr>
        <w:tabs>
          <w:tab w:val="left" w:pos="3420"/>
        </w:tabs>
        <w:jc w:val="right"/>
      </w:pPr>
      <w:r>
        <w:t xml:space="preserve">Тетіївського відділу Державної </w:t>
      </w:r>
    </w:p>
    <w:p w:rsidR="00E44019" w:rsidRDefault="00E44019" w:rsidP="00DE5A0A">
      <w:pPr>
        <w:tabs>
          <w:tab w:val="left" w:pos="3420"/>
        </w:tabs>
        <w:jc w:val="right"/>
      </w:pPr>
      <w:r>
        <w:t xml:space="preserve">казначейської служби України </w:t>
      </w:r>
    </w:p>
    <w:p w:rsidR="00E44019" w:rsidRDefault="00E44019" w:rsidP="00DE5A0A">
      <w:pPr>
        <w:tabs>
          <w:tab w:val="left" w:pos="3420"/>
        </w:tabs>
        <w:jc w:val="right"/>
      </w:pPr>
      <w:r>
        <w:t>Київської області на 2026 рік</w:t>
      </w:r>
    </w:p>
    <w:p w:rsidR="00E44019" w:rsidRDefault="00E44019" w:rsidP="00DE5A0A">
      <w:pPr>
        <w:tabs>
          <w:tab w:val="left" w:pos="3420"/>
        </w:tabs>
        <w:jc w:val="right"/>
      </w:pPr>
    </w:p>
    <w:p w:rsidR="00E44019" w:rsidRDefault="00E44019" w:rsidP="00DE5A0A">
      <w:pPr>
        <w:tabs>
          <w:tab w:val="left" w:pos="34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</w:t>
      </w:r>
    </w:p>
    <w:p w:rsidR="00E44019" w:rsidRDefault="00E44019" w:rsidP="00DE5A0A">
      <w:pPr>
        <w:tabs>
          <w:tab w:val="left" w:pos="34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Програми підтримки Тетіївського відділу Державної казначейської служби України Київської області на 2026 рік</w:t>
      </w:r>
    </w:p>
    <w:p w:rsidR="00E44019" w:rsidRDefault="00E44019" w:rsidP="00DE5A0A">
      <w:pPr>
        <w:tabs>
          <w:tab w:val="left" w:pos="3420"/>
        </w:tabs>
        <w:jc w:val="center"/>
        <w:rPr>
          <w:b/>
          <w:bCs/>
          <w:sz w:val="28"/>
          <w:szCs w:val="28"/>
        </w:rPr>
      </w:pPr>
    </w:p>
    <w:p w:rsidR="00E44019" w:rsidRDefault="00E44019" w:rsidP="00DE5A0A">
      <w:pPr>
        <w:tabs>
          <w:tab w:val="left" w:pos="3420"/>
        </w:tabs>
        <w:jc w:val="right"/>
      </w:pPr>
      <w:r>
        <w:t>тис.грн.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12"/>
        <w:gridCol w:w="1719"/>
        <w:gridCol w:w="1617"/>
      </w:tblGrid>
      <w:tr w:rsidR="00E44019" w:rsidTr="00DA2B0B">
        <w:tc>
          <w:tcPr>
            <w:tcW w:w="6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lang w:val="uk-UA"/>
              </w:rPr>
              <w:t>Обсяги коштів, які планується залучити на виконання Програми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019" w:rsidRDefault="00E44019" w:rsidP="00166FCE">
            <w:pPr>
              <w:pStyle w:val="a"/>
              <w:jc w:val="center"/>
            </w:pPr>
            <w:r>
              <w:rPr>
                <w:lang w:val="uk-UA"/>
              </w:rPr>
              <w:t>рік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lang w:val="uk-UA"/>
              </w:rPr>
              <w:t>Всього витрати на виконання Програми</w:t>
            </w:r>
          </w:p>
        </w:tc>
      </w:tr>
      <w:tr w:rsidR="00E44019" w:rsidTr="00DA2B0B">
        <w:tc>
          <w:tcPr>
            <w:tcW w:w="6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  <w:snapToGrid w:val="0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166FCE">
            <w:pPr>
              <w:pStyle w:val="a"/>
              <w:jc w:val="center"/>
            </w:pPr>
            <w:r>
              <w:rPr>
                <w:lang w:val="uk-UA"/>
              </w:rPr>
              <w:t>2026</w:t>
            </w: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  <w:snapToGrid w:val="0"/>
            </w:pPr>
          </w:p>
        </w:tc>
      </w:tr>
      <w:tr w:rsidR="00E44019" w:rsidTr="00DA2B0B">
        <w:tc>
          <w:tcPr>
            <w:tcW w:w="6339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 ресурсів, всього, </w:t>
            </w:r>
          </w:p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en-US"/>
              </w:rPr>
              <w:t>61,0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en-US"/>
              </w:rPr>
              <w:t>61,0</w:t>
            </w:r>
          </w:p>
        </w:tc>
      </w:tr>
      <w:tr w:rsidR="00E44019" w:rsidTr="00DA2B0B">
        <w:tc>
          <w:tcPr>
            <w:tcW w:w="6339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E44019" w:rsidTr="00DA2B0B">
        <w:tc>
          <w:tcPr>
            <w:tcW w:w="6339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E44019" w:rsidTr="00DA2B0B">
        <w:tc>
          <w:tcPr>
            <w:tcW w:w="6339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Pr="00DE5A0A" w:rsidRDefault="00E44019" w:rsidP="00DA2B0B">
            <w:pPr>
              <w:pStyle w:val="a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 </w:t>
            </w:r>
            <w:r w:rsidRPr="00DE5A0A">
              <w:rPr>
                <w:sz w:val="28"/>
                <w:szCs w:val="28"/>
                <w:lang w:val="uk-UA"/>
              </w:rPr>
              <w:t>Тетіївської міської територіальної громади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en-US"/>
              </w:rPr>
              <w:t>61,0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en-US"/>
              </w:rPr>
              <w:t>61,0</w:t>
            </w:r>
          </w:p>
        </w:tc>
      </w:tr>
      <w:tr w:rsidR="00E44019" w:rsidTr="00DA2B0B">
        <w:tc>
          <w:tcPr>
            <w:tcW w:w="6339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19" w:rsidRDefault="00E44019" w:rsidP="00DA2B0B">
            <w:pPr>
              <w:pStyle w:val="a"/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E44019" w:rsidRDefault="00E44019" w:rsidP="00DE5A0A">
      <w:pPr>
        <w:tabs>
          <w:tab w:val="left" w:pos="3420"/>
        </w:tabs>
        <w:jc w:val="right"/>
      </w:pPr>
    </w:p>
    <w:p w:rsidR="00E44019" w:rsidRDefault="00E44019" w:rsidP="00DE5A0A">
      <w:pPr>
        <w:tabs>
          <w:tab w:val="left" w:pos="3420"/>
        </w:tabs>
        <w:jc w:val="right"/>
      </w:pPr>
    </w:p>
    <w:p w:rsidR="00E44019" w:rsidRDefault="00E44019" w:rsidP="002429C9">
      <w:pPr>
        <w:tabs>
          <w:tab w:val="left" w:pos="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  <w:t xml:space="preserve">                                    Наталія ІВАНЮТА</w:t>
      </w: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E44019" w:rsidRDefault="00E44019" w:rsidP="00DE5A0A">
      <w:pPr>
        <w:tabs>
          <w:tab w:val="left" w:pos="0"/>
        </w:tabs>
        <w:ind w:firstLine="680"/>
        <w:jc w:val="both"/>
      </w:pPr>
    </w:p>
    <w:p w:rsidR="00E44019" w:rsidRDefault="00E44019">
      <w:pPr>
        <w:pStyle w:val="BodyText"/>
        <w:spacing w:before="2"/>
        <w:ind w:left="0"/>
        <w:rPr>
          <w:sz w:val="23"/>
        </w:rPr>
      </w:pPr>
    </w:p>
    <w:sectPr w:rsidR="00E44019" w:rsidSect="0014133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975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019" w:rsidRDefault="00E44019">
      <w:r>
        <w:separator/>
      </w:r>
    </w:p>
  </w:endnote>
  <w:endnote w:type="continuationSeparator" w:id="0">
    <w:p w:rsidR="00E44019" w:rsidRDefault="00E4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19" w:rsidRDefault="00E4401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19" w:rsidRDefault="00E4401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019" w:rsidRDefault="00E44019">
      <w:r>
        <w:separator/>
      </w:r>
    </w:p>
  </w:footnote>
  <w:footnote w:type="continuationSeparator" w:id="0">
    <w:p w:rsidR="00E44019" w:rsidRDefault="00E44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19" w:rsidRDefault="00E44019">
    <w:pPr>
      <w:pStyle w:val="BodyText"/>
      <w:spacing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19" w:rsidRDefault="00E44019">
    <w:pPr>
      <w:pStyle w:val="Header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6.85pt;height:12.6pt;z-index:251660288;mso-wrap-distance-left:0;mso-wrap-distance-right:0;mso-position-horizontal:center;mso-position-horizontal-relative:margin" o:allowincell="f" stroked="f">
          <v:fill opacity="0" color2="black"/>
          <v:textbox inset="1.15pt,1.15pt,1.15pt,1.15pt">
            <w:txbxContent>
              <w:p w:rsidR="00E44019" w:rsidRDefault="00E44019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5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19" w:rsidRDefault="00E440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802"/>
    <w:multiLevelType w:val="hybridMultilevel"/>
    <w:tmpl w:val="C0FE86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424944"/>
    <w:multiLevelType w:val="hybridMultilevel"/>
    <w:tmpl w:val="11DEE33C"/>
    <w:lvl w:ilvl="0" w:tplc="C1EC0574">
      <w:start w:val="1"/>
      <w:numFmt w:val="decimal"/>
      <w:lvlText w:val="%1."/>
      <w:lvlJc w:val="left"/>
      <w:pPr>
        <w:ind w:left="2843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4A4D3C"/>
    <w:multiLevelType w:val="hybridMultilevel"/>
    <w:tmpl w:val="9078F7E0"/>
    <w:lvl w:ilvl="0" w:tplc="F91C552C">
      <w:numFmt w:val="bullet"/>
      <w:lvlText w:val="–"/>
      <w:lvlJc w:val="left"/>
      <w:pPr>
        <w:ind w:left="122" w:hanging="377"/>
      </w:pPr>
      <w:rPr>
        <w:rFonts w:ascii="Times New Roman" w:eastAsia="Times New Roman" w:hAnsi="Times New Roman" w:hint="default"/>
        <w:w w:val="100"/>
        <w:sz w:val="28"/>
      </w:rPr>
    </w:lvl>
    <w:lvl w:ilvl="1" w:tplc="FFC4A764">
      <w:numFmt w:val="bullet"/>
      <w:lvlText w:val="•"/>
      <w:lvlJc w:val="left"/>
      <w:pPr>
        <w:ind w:left="1090" w:hanging="377"/>
      </w:pPr>
      <w:rPr>
        <w:rFonts w:hint="default"/>
      </w:rPr>
    </w:lvl>
    <w:lvl w:ilvl="2" w:tplc="17C0A37E">
      <w:numFmt w:val="bullet"/>
      <w:lvlText w:val="•"/>
      <w:lvlJc w:val="left"/>
      <w:pPr>
        <w:ind w:left="2061" w:hanging="377"/>
      </w:pPr>
      <w:rPr>
        <w:rFonts w:hint="default"/>
      </w:rPr>
    </w:lvl>
    <w:lvl w:ilvl="3" w:tplc="8ED4F3B2">
      <w:numFmt w:val="bullet"/>
      <w:lvlText w:val="•"/>
      <w:lvlJc w:val="left"/>
      <w:pPr>
        <w:ind w:left="3031" w:hanging="377"/>
      </w:pPr>
      <w:rPr>
        <w:rFonts w:hint="default"/>
      </w:rPr>
    </w:lvl>
    <w:lvl w:ilvl="4" w:tplc="A8288C16">
      <w:numFmt w:val="bullet"/>
      <w:lvlText w:val="•"/>
      <w:lvlJc w:val="left"/>
      <w:pPr>
        <w:ind w:left="4002" w:hanging="377"/>
      </w:pPr>
      <w:rPr>
        <w:rFonts w:hint="default"/>
      </w:rPr>
    </w:lvl>
    <w:lvl w:ilvl="5" w:tplc="91C46EA6">
      <w:numFmt w:val="bullet"/>
      <w:lvlText w:val="•"/>
      <w:lvlJc w:val="left"/>
      <w:pPr>
        <w:ind w:left="4973" w:hanging="377"/>
      </w:pPr>
      <w:rPr>
        <w:rFonts w:hint="default"/>
      </w:rPr>
    </w:lvl>
    <w:lvl w:ilvl="6" w:tplc="59AEBB16">
      <w:numFmt w:val="bullet"/>
      <w:lvlText w:val="•"/>
      <w:lvlJc w:val="left"/>
      <w:pPr>
        <w:ind w:left="5943" w:hanging="377"/>
      </w:pPr>
      <w:rPr>
        <w:rFonts w:hint="default"/>
      </w:rPr>
    </w:lvl>
    <w:lvl w:ilvl="7" w:tplc="BF687C64">
      <w:numFmt w:val="bullet"/>
      <w:lvlText w:val="•"/>
      <w:lvlJc w:val="left"/>
      <w:pPr>
        <w:ind w:left="6914" w:hanging="377"/>
      </w:pPr>
      <w:rPr>
        <w:rFonts w:hint="default"/>
      </w:rPr>
    </w:lvl>
    <w:lvl w:ilvl="8" w:tplc="9422528A">
      <w:numFmt w:val="bullet"/>
      <w:lvlText w:val="•"/>
      <w:lvlJc w:val="left"/>
      <w:pPr>
        <w:ind w:left="7885" w:hanging="377"/>
      </w:pPr>
      <w:rPr>
        <w:rFonts w:hint="default"/>
      </w:rPr>
    </w:lvl>
  </w:abstractNum>
  <w:abstractNum w:abstractNumId="3">
    <w:nsid w:val="58E104FE"/>
    <w:multiLevelType w:val="hybridMultilevel"/>
    <w:tmpl w:val="5FC2EB3E"/>
    <w:lvl w:ilvl="0" w:tplc="367EF522">
      <w:start w:val="1"/>
      <w:numFmt w:val="decimal"/>
      <w:lvlText w:val="%1."/>
      <w:lvlJc w:val="left"/>
      <w:pPr>
        <w:ind w:left="122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CA0CE87A">
      <w:numFmt w:val="bullet"/>
      <w:lvlText w:val="•"/>
      <w:lvlJc w:val="left"/>
      <w:pPr>
        <w:ind w:left="1090" w:hanging="363"/>
      </w:pPr>
      <w:rPr>
        <w:rFonts w:hint="default"/>
      </w:rPr>
    </w:lvl>
    <w:lvl w:ilvl="2" w:tplc="2272D934">
      <w:numFmt w:val="bullet"/>
      <w:lvlText w:val="•"/>
      <w:lvlJc w:val="left"/>
      <w:pPr>
        <w:ind w:left="2061" w:hanging="363"/>
      </w:pPr>
      <w:rPr>
        <w:rFonts w:hint="default"/>
      </w:rPr>
    </w:lvl>
    <w:lvl w:ilvl="3" w:tplc="4EF47950">
      <w:numFmt w:val="bullet"/>
      <w:lvlText w:val="•"/>
      <w:lvlJc w:val="left"/>
      <w:pPr>
        <w:ind w:left="3031" w:hanging="363"/>
      </w:pPr>
      <w:rPr>
        <w:rFonts w:hint="default"/>
      </w:rPr>
    </w:lvl>
    <w:lvl w:ilvl="4" w:tplc="7A48C144">
      <w:numFmt w:val="bullet"/>
      <w:lvlText w:val="•"/>
      <w:lvlJc w:val="left"/>
      <w:pPr>
        <w:ind w:left="4002" w:hanging="363"/>
      </w:pPr>
      <w:rPr>
        <w:rFonts w:hint="default"/>
      </w:rPr>
    </w:lvl>
    <w:lvl w:ilvl="5" w:tplc="C178B30C">
      <w:numFmt w:val="bullet"/>
      <w:lvlText w:val="•"/>
      <w:lvlJc w:val="left"/>
      <w:pPr>
        <w:ind w:left="4973" w:hanging="363"/>
      </w:pPr>
      <w:rPr>
        <w:rFonts w:hint="default"/>
      </w:rPr>
    </w:lvl>
    <w:lvl w:ilvl="6" w:tplc="78A4BDE2">
      <w:numFmt w:val="bullet"/>
      <w:lvlText w:val="•"/>
      <w:lvlJc w:val="left"/>
      <w:pPr>
        <w:ind w:left="5943" w:hanging="363"/>
      </w:pPr>
      <w:rPr>
        <w:rFonts w:hint="default"/>
      </w:rPr>
    </w:lvl>
    <w:lvl w:ilvl="7" w:tplc="0BC872AE">
      <w:numFmt w:val="bullet"/>
      <w:lvlText w:val="•"/>
      <w:lvlJc w:val="left"/>
      <w:pPr>
        <w:ind w:left="6914" w:hanging="363"/>
      </w:pPr>
      <w:rPr>
        <w:rFonts w:hint="default"/>
      </w:rPr>
    </w:lvl>
    <w:lvl w:ilvl="8" w:tplc="F68CF806">
      <w:numFmt w:val="bullet"/>
      <w:lvlText w:val="•"/>
      <w:lvlJc w:val="left"/>
      <w:pPr>
        <w:ind w:left="7885" w:hanging="363"/>
      </w:pPr>
      <w:rPr>
        <w:rFonts w:hint="default"/>
      </w:rPr>
    </w:lvl>
  </w:abstractNum>
  <w:abstractNum w:abstractNumId="4">
    <w:nsid w:val="654541B9"/>
    <w:multiLevelType w:val="hybridMultilevel"/>
    <w:tmpl w:val="4F501F18"/>
    <w:lvl w:ilvl="0" w:tplc="37E6EFDE">
      <w:numFmt w:val="bullet"/>
      <w:lvlText w:val="–"/>
      <w:lvlJc w:val="left"/>
      <w:pPr>
        <w:ind w:left="122" w:hanging="363"/>
      </w:pPr>
      <w:rPr>
        <w:rFonts w:ascii="Times New Roman" w:eastAsia="Times New Roman" w:hAnsi="Times New Roman" w:hint="default"/>
        <w:w w:val="100"/>
        <w:sz w:val="28"/>
      </w:rPr>
    </w:lvl>
    <w:lvl w:ilvl="1" w:tplc="CB26213C">
      <w:numFmt w:val="bullet"/>
      <w:lvlText w:val="-"/>
      <w:lvlJc w:val="left"/>
      <w:pPr>
        <w:ind w:left="122" w:hanging="267"/>
      </w:pPr>
      <w:rPr>
        <w:rFonts w:ascii="Times New Roman" w:eastAsia="Times New Roman" w:hAnsi="Times New Roman" w:hint="default"/>
        <w:w w:val="100"/>
        <w:sz w:val="28"/>
      </w:rPr>
    </w:lvl>
    <w:lvl w:ilvl="2" w:tplc="6D221742">
      <w:numFmt w:val="bullet"/>
      <w:lvlText w:val="•"/>
      <w:lvlJc w:val="left"/>
      <w:pPr>
        <w:ind w:left="2061" w:hanging="267"/>
      </w:pPr>
      <w:rPr>
        <w:rFonts w:hint="default"/>
      </w:rPr>
    </w:lvl>
    <w:lvl w:ilvl="3" w:tplc="ADBC72DC">
      <w:numFmt w:val="bullet"/>
      <w:lvlText w:val="•"/>
      <w:lvlJc w:val="left"/>
      <w:pPr>
        <w:ind w:left="3031" w:hanging="267"/>
      </w:pPr>
      <w:rPr>
        <w:rFonts w:hint="default"/>
      </w:rPr>
    </w:lvl>
    <w:lvl w:ilvl="4" w:tplc="D7182B48">
      <w:numFmt w:val="bullet"/>
      <w:lvlText w:val="•"/>
      <w:lvlJc w:val="left"/>
      <w:pPr>
        <w:ind w:left="4002" w:hanging="267"/>
      </w:pPr>
      <w:rPr>
        <w:rFonts w:hint="default"/>
      </w:rPr>
    </w:lvl>
    <w:lvl w:ilvl="5" w:tplc="B6A8DEE0">
      <w:numFmt w:val="bullet"/>
      <w:lvlText w:val="•"/>
      <w:lvlJc w:val="left"/>
      <w:pPr>
        <w:ind w:left="4973" w:hanging="267"/>
      </w:pPr>
      <w:rPr>
        <w:rFonts w:hint="default"/>
      </w:rPr>
    </w:lvl>
    <w:lvl w:ilvl="6" w:tplc="B25E53DC">
      <w:numFmt w:val="bullet"/>
      <w:lvlText w:val="•"/>
      <w:lvlJc w:val="left"/>
      <w:pPr>
        <w:ind w:left="5943" w:hanging="267"/>
      </w:pPr>
      <w:rPr>
        <w:rFonts w:hint="default"/>
      </w:rPr>
    </w:lvl>
    <w:lvl w:ilvl="7" w:tplc="AF98C5FA">
      <w:numFmt w:val="bullet"/>
      <w:lvlText w:val="•"/>
      <w:lvlJc w:val="left"/>
      <w:pPr>
        <w:ind w:left="6914" w:hanging="267"/>
      </w:pPr>
      <w:rPr>
        <w:rFonts w:hint="default"/>
      </w:rPr>
    </w:lvl>
    <w:lvl w:ilvl="8" w:tplc="B622E144">
      <w:numFmt w:val="bullet"/>
      <w:lvlText w:val="•"/>
      <w:lvlJc w:val="left"/>
      <w:pPr>
        <w:ind w:left="7885" w:hanging="267"/>
      </w:pPr>
      <w:rPr>
        <w:rFonts w:hint="default"/>
      </w:rPr>
    </w:lvl>
  </w:abstractNum>
  <w:abstractNum w:abstractNumId="5">
    <w:nsid w:val="659964A8"/>
    <w:multiLevelType w:val="hybridMultilevel"/>
    <w:tmpl w:val="AE1CF270"/>
    <w:lvl w:ilvl="0" w:tplc="482AC1E2">
      <w:numFmt w:val="bullet"/>
      <w:lvlText w:val="-"/>
      <w:lvlJc w:val="left"/>
      <w:pPr>
        <w:ind w:left="122" w:hanging="425"/>
      </w:pPr>
      <w:rPr>
        <w:rFonts w:ascii="Times New Roman" w:eastAsia="Times New Roman" w:hAnsi="Times New Roman" w:hint="default"/>
        <w:w w:val="100"/>
        <w:sz w:val="28"/>
      </w:rPr>
    </w:lvl>
    <w:lvl w:ilvl="1" w:tplc="B65EC7AE">
      <w:numFmt w:val="bullet"/>
      <w:lvlText w:val="-"/>
      <w:lvlJc w:val="left"/>
      <w:pPr>
        <w:ind w:left="122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48A4876">
      <w:numFmt w:val="bullet"/>
      <w:lvlText w:val="•"/>
      <w:lvlJc w:val="left"/>
      <w:pPr>
        <w:ind w:left="2061" w:hanging="286"/>
      </w:pPr>
      <w:rPr>
        <w:rFonts w:hint="default"/>
      </w:rPr>
    </w:lvl>
    <w:lvl w:ilvl="3" w:tplc="597C8348">
      <w:numFmt w:val="bullet"/>
      <w:lvlText w:val="•"/>
      <w:lvlJc w:val="left"/>
      <w:pPr>
        <w:ind w:left="3031" w:hanging="286"/>
      </w:pPr>
      <w:rPr>
        <w:rFonts w:hint="default"/>
      </w:rPr>
    </w:lvl>
    <w:lvl w:ilvl="4" w:tplc="09267B40">
      <w:numFmt w:val="bullet"/>
      <w:lvlText w:val="•"/>
      <w:lvlJc w:val="left"/>
      <w:pPr>
        <w:ind w:left="4002" w:hanging="286"/>
      </w:pPr>
      <w:rPr>
        <w:rFonts w:hint="default"/>
      </w:rPr>
    </w:lvl>
    <w:lvl w:ilvl="5" w:tplc="A5D44DD4">
      <w:numFmt w:val="bullet"/>
      <w:lvlText w:val="•"/>
      <w:lvlJc w:val="left"/>
      <w:pPr>
        <w:ind w:left="4973" w:hanging="286"/>
      </w:pPr>
      <w:rPr>
        <w:rFonts w:hint="default"/>
      </w:rPr>
    </w:lvl>
    <w:lvl w:ilvl="6" w:tplc="48F06CCA">
      <w:numFmt w:val="bullet"/>
      <w:lvlText w:val="•"/>
      <w:lvlJc w:val="left"/>
      <w:pPr>
        <w:ind w:left="5943" w:hanging="286"/>
      </w:pPr>
      <w:rPr>
        <w:rFonts w:hint="default"/>
      </w:rPr>
    </w:lvl>
    <w:lvl w:ilvl="7" w:tplc="ED6A7CD8">
      <w:numFmt w:val="bullet"/>
      <w:lvlText w:val="•"/>
      <w:lvlJc w:val="left"/>
      <w:pPr>
        <w:ind w:left="6914" w:hanging="286"/>
      </w:pPr>
      <w:rPr>
        <w:rFonts w:hint="default"/>
      </w:rPr>
    </w:lvl>
    <w:lvl w:ilvl="8" w:tplc="E3ACB82A">
      <w:numFmt w:val="bullet"/>
      <w:lvlText w:val="•"/>
      <w:lvlJc w:val="left"/>
      <w:pPr>
        <w:ind w:left="7885" w:hanging="286"/>
      </w:pPr>
      <w:rPr>
        <w:rFonts w:hint="default"/>
      </w:rPr>
    </w:lvl>
  </w:abstractNum>
  <w:abstractNum w:abstractNumId="6">
    <w:nsid w:val="6613234C"/>
    <w:multiLevelType w:val="hybridMultilevel"/>
    <w:tmpl w:val="DC544088"/>
    <w:lvl w:ilvl="0" w:tplc="224C09FA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 w:tplc="C1EC0574">
      <w:start w:val="1"/>
      <w:numFmt w:val="decimal"/>
      <w:lvlText w:val="%2."/>
      <w:lvlJc w:val="left"/>
      <w:pPr>
        <w:ind w:left="3146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 w:tplc="7AB62B64">
      <w:numFmt w:val="bullet"/>
      <w:lvlText w:val="•"/>
      <w:lvlJc w:val="left"/>
      <w:pPr>
        <w:ind w:left="3919" w:hanging="213"/>
      </w:pPr>
      <w:rPr>
        <w:rFonts w:hint="default"/>
      </w:rPr>
    </w:lvl>
    <w:lvl w:ilvl="3" w:tplc="233C1C2C">
      <w:numFmt w:val="bullet"/>
      <w:lvlText w:val="•"/>
      <w:lvlJc w:val="left"/>
      <w:pPr>
        <w:ind w:left="4695" w:hanging="213"/>
      </w:pPr>
      <w:rPr>
        <w:rFonts w:hint="default"/>
      </w:rPr>
    </w:lvl>
    <w:lvl w:ilvl="4" w:tplc="3BDCF5AE">
      <w:numFmt w:val="bullet"/>
      <w:lvlText w:val="•"/>
      <w:lvlJc w:val="left"/>
      <w:pPr>
        <w:ind w:left="5471" w:hanging="213"/>
      </w:pPr>
      <w:rPr>
        <w:rFonts w:hint="default"/>
      </w:rPr>
    </w:lvl>
    <w:lvl w:ilvl="5" w:tplc="BA9C7E72">
      <w:numFmt w:val="bullet"/>
      <w:lvlText w:val="•"/>
      <w:lvlJc w:val="left"/>
      <w:pPr>
        <w:ind w:left="6248" w:hanging="213"/>
      </w:pPr>
      <w:rPr>
        <w:rFonts w:hint="default"/>
      </w:rPr>
    </w:lvl>
    <w:lvl w:ilvl="6" w:tplc="5CA22EA4">
      <w:numFmt w:val="bullet"/>
      <w:lvlText w:val="•"/>
      <w:lvlJc w:val="left"/>
      <w:pPr>
        <w:ind w:left="7024" w:hanging="213"/>
      </w:pPr>
      <w:rPr>
        <w:rFonts w:hint="default"/>
      </w:rPr>
    </w:lvl>
    <w:lvl w:ilvl="7" w:tplc="A422289E">
      <w:numFmt w:val="bullet"/>
      <w:lvlText w:val="•"/>
      <w:lvlJc w:val="left"/>
      <w:pPr>
        <w:ind w:left="7800" w:hanging="213"/>
      </w:pPr>
      <w:rPr>
        <w:rFonts w:hint="default"/>
      </w:rPr>
    </w:lvl>
    <w:lvl w:ilvl="8" w:tplc="782EF8E6">
      <w:numFmt w:val="bullet"/>
      <w:lvlText w:val="•"/>
      <w:lvlJc w:val="left"/>
      <w:pPr>
        <w:ind w:left="8576" w:hanging="213"/>
      </w:pPr>
      <w:rPr>
        <w:rFonts w:hint="default"/>
      </w:rPr>
    </w:lvl>
  </w:abstractNum>
  <w:abstractNum w:abstractNumId="7">
    <w:nsid w:val="6D5E1133"/>
    <w:multiLevelType w:val="hybridMultilevel"/>
    <w:tmpl w:val="97A2C52E"/>
    <w:lvl w:ilvl="0" w:tplc="1E0E507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6DF"/>
    <w:rsid w:val="0000321A"/>
    <w:rsid w:val="00057F29"/>
    <w:rsid w:val="00060890"/>
    <w:rsid w:val="00086C86"/>
    <w:rsid w:val="00091EB3"/>
    <w:rsid w:val="000A3FBC"/>
    <w:rsid w:val="000C64DB"/>
    <w:rsid w:val="000E1FAB"/>
    <w:rsid w:val="000E5A61"/>
    <w:rsid w:val="0013473D"/>
    <w:rsid w:val="00141337"/>
    <w:rsid w:val="001541EF"/>
    <w:rsid w:val="00166FCE"/>
    <w:rsid w:val="00190987"/>
    <w:rsid w:val="00192A0B"/>
    <w:rsid w:val="001A4593"/>
    <w:rsid w:val="001F016F"/>
    <w:rsid w:val="00211825"/>
    <w:rsid w:val="00215EDD"/>
    <w:rsid w:val="002423E2"/>
    <w:rsid w:val="002429C9"/>
    <w:rsid w:val="00252430"/>
    <w:rsid w:val="0027072E"/>
    <w:rsid w:val="00274E8A"/>
    <w:rsid w:val="00277061"/>
    <w:rsid w:val="002A41BF"/>
    <w:rsid w:val="002F1A77"/>
    <w:rsid w:val="0033311F"/>
    <w:rsid w:val="00353DD1"/>
    <w:rsid w:val="00366FF9"/>
    <w:rsid w:val="003D3575"/>
    <w:rsid w:val="003E15D1"/>
    <w:rsid w:val="003E6B5F"/>
    <w:rsid w:val="003F0D14"/>
    <w:rsid w:val="003F252E"/>
    <w:rsid w:val="003F4AB1"/>
    <w:rsid w:val="0040687F"/>
    <w:rsid w:val="00474B03"/>
    <w:rsid w:val="004B5D1E"/>
    <w:rsid w:val="004C1A6C"/>
    <w:rsid w:val="004C3688"/>
    <w:rsid w:val="004E4DDB"/>
    <w:rsid w:val="004F357E"/>
    <w:rsid w:val="00513FA9"/>
    <w:rsid w:val="0055758F"/>
    <w:rsid w:val="005C3BF7"/>
    <w:rsid w:val="00603B84"/>
    <w:rsid w:val="006273AE"/>
    <w:rsid w:val="00644500"/>
    <w:rsid w:val="00651AA8"/>
    <w:rsid w:val="00680262"/>
    <w:rsid w:val="00685AB1"/>
    <w:rsid w:val="00692F51"/>
    <w:rsid w:val="006A350E"/>
    <w:rsid w:val="006B160F"/>
    <w:rsid w:val="006B210D"/>
    <w:rsid w:val="006D3C27"/>
    <w:rsid w:val="006F7FF2"/>
    <w:rsid w:val="00701BF0"/>
    <w:rsid w:val="0071052B"/>
    <w:rsid w:val="00754C36"/>
    <w:rsid w:val="00765B44"/>
    <w:rsid w:val="00771B28"/>
    <w:rsid w:val="00791694"/>
    <w:rsid w:val="008036EC"/>
    <w:rsid w:val="00832FDD"/>
    <w:rsid w:val="008471BB"/>
    <w:rsid w:val="00861769"/>
    <w:rsid w:val="00973828"/>
    <w:rsid w:val="009974B5"/>
    <w:rsid w:val="009C0B24"/>
    <w:rsid w:val="00A00155"/>
    <w:rsid w:val="00A17731"/>
    <w:rsid w:val="00A31357"/>
    <w:rsid w:val="00A35D82"/>
    <w:rsid w:val="00A47A44"/>
    <w:rsid w:val="00A502B9"/>
    <w:rsid w:val="00A53711"/>
    <w:rsid w:val="00A70CFF"/>
    <w:rsid w:val="00A84CE1"/>
    <w:rsid w:val="00AC47DA"/>
    <w:rsid w:val="00AC61FC"/>
    <w:rsid w:val="00AF111A"/>
    <w:rsid w:val="00B26FCE"/>
    <w:rsid w:val="00B90479"/>
    <w:rsid w:val="00BB72A8"/>
    <w:rsid w:val="00C0572B"/>
    <w:rsid w:val="00C44F20"/>
    <w:rsid w:val="00C61BE5"/>
    <w:rsid w:val="00C71F82"/>
    <w:rsid w:val="00C816EA"/>
    <w:rsid w:val="00CA4214"/>
    <w:rsid w:val="00CA7DF5"/>
    <w:rsid w:val="00CB1599"/>
    <w:rsid w:val="00D22BB7"/>
    <w:rsid w:val="00D2368E"/>
    <w:rsid w:val="00D256DF"/>
    <w:rsid w:val="00D80716"/>
    <w:rsid w:val="00DA2B0B"/>
    <w:rsid w:val="00DE5A0A"/>
    <w:rsid w:val="00E131E4"/>
    <w:rsid w:val="00E176F3"/>
    <w:rsid w:val="00E44019"/>
    <w:rsid w:val="00E81B51"/>
    <w:rsid w:val="00E86866"/>
    <w:rsid w:val="00EC196E"/>
    <w:rsid w:val="00EC3631"/>
    <w:rsid w:val="00EC7E4B"/>
    <w:rsid w:val="00ED5864"/>
    <w:rsid w:val="00ED74C6"/>
    <w:rsid w:val="00F13393"/>
    <w:rsid w:val="00F34AC1"/>
    <w:rsid w:val="00F5204F"/>
    <w:rsid w:val="00F745BF"/>
    <w:rsid w:val="00F9104C"/>
    <w:rsid w:val="00FB4A34"/>
    <w:rsid w:val="00FE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FCE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B26FCE"/>
    <w:pPr>
      <w:ind w:left="2752" w:right="67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B26FCE"/>
    <w:pPr>
      <w:ind w:left="122" w:hanging="282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4CE1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84CE1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table" w:customStyle="1" w:styleId="TableNormal1">
    <w:name w:val="Table Normal1"/>
    <w:uiPriority w:val="99"/>
    <w:semiHidden/>
    <w:rsid w:val="00B26FC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B26FCE"/>
    <w:pPr>
      <w:ind w:left="12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7DF5"/>
    <w:rPr>
      <w:rFonts w:ascii="Times New Roman" w:hAnsi="Times New Roman" w:cs="Times New Roman"/>
      <w:sz w:val="28"/>
      <w:szCs w:val="28"/>
      <w:lang w:val="uk-UA"/>
    </w:rPr>
  </w:style>
  <w:style w:type="paragraph" w:styleId="ListParagraph">
    <w:name w:val="List Paragraph"/>
    <w:basedOn w:val="Normal"/>
    <w:uiPriority w:val="99"/>
    <w:qFormat/>
    <w:rsid w:val="00B26FCE"/>
    <w:pPr>
      <w:ind w:left="122" w:firstLine="427"/>
      <w:jc w:val="both"/>
    </w:pPr>
  </w:style>
  <w:style w:type="paragraph" w:customStyle="1" w:styleId="TableParagraph">
    <w:name w:val="Table Paragraph"/>
    <w:basedOn w:val="Normal"/>
    <w:uiPriority w:val="99"/>
    <w:rsid w:val="00B26FCE"/>
    <w:pPr>
      <w:ind w:left="217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1F0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16F"/>
    <w:rPr>
      <w:rFonts w:ascii="Tahoma" w:hAnsi="Tahoma" w:cs="Tahoma"/>
      <w:sz w:val="16"/>
      <w:szCs w:val="16"/>
      <w:lang w:val="uk-UA"/>
    </w:rPr>
  </w:style>
  <w:style w:type="paragraph" w:styleId="Header">
    <w:name w:val="header"/>
    <w:basedOn w:val="Normal"/>
    <w:link w:val="HeaderChar"/>
    <w:uiPriority w:val="99"/>
    <w:rsid w:val="001F01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16F"/>
    <w:rPr>
      <w:rFonts w:ascii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rsid w:val="001F01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16F"/>
    <w:rPr>
      <w:rFonts w:ascii="Times New Roman" w:hAnsi="Times New Roman" w:cs="Times New Roman"/>
      <w:lang w:val="uk-UA"/>
    </w:rPr>
  </w:style>
  <w:style w:type="character" w:styleId="PageNumber">
    <w:name w:val="page number"/>
    <w:basedOn w:val="DefaultParagraphFont"/>
    <w:uiPriority w:val="99"/>
    <w:rsid w:val="00DE5A0A"/>
    <w:rPr>
      <w:rFonts w:cs="Times New Roman"/>
    </w:rPr>
  </w:style>
  <w:style w:type="paragraph" w:styleId="NormalWeb">
    <w:name w:val="Normal (Web)"/>
    <w:basedOn w:val="Normal"/>
    <w:uiPriority w:val="99"/>
    <w:rsid w:val="00DE5A0A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val="ru-RU" w:eastAsia="zh-CN"/>
    </w:rPr>
  </w:style>
  <w:style w:type="paragraph" w:customStyle="1" w:styleId="a">
    <w:name w:val="Вміст таблиці"/>
    <w:basedOn w:val="Normal"/>
    <w:uiPriority w:val="99"/>
    <w:rsid w:val="00DE5A0A"/>
    <w:pPr>
      <w:suppressLineNumbers/>
      <w:suppressAutoHyphens/>
      <w:autoSpaceDE/>
      <w:autoSpaceDN/>
    </w:pPr>
    <w:rPr>
      <w:rFonts w:eastAsia="Calibri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uiPriority w:val="99"/>
    <w:rsid w:val="00AC61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6</Pages>
  <Words>1180</Words>
  <Characters>6731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2026-06-25T11:05:00Z</cp:lastPrinted>
  <dcterms:created xsi:type="dcterms:W3CDTF">2023-12-19T07:57:00Z</dcterms:created>
  <dcterms:modified xsi:type="dcterms:W3CDTF">2026-06-30T11:24:00Z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