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C31470" w:rsidP="002635D5">
      <w:pPr>
        <w:pStyle w:val="a5"/>
        <w:keepLines/>
        <w:tabs>
          <w:tab w:val="left" w:pos="0"/>
        </w:tabs>
        <w:spacing w:line="240" w:lineRule="auto"/>
        <w:ind w:left="0"/>
        <w:rPr>
          <w:rFonts w:eastAsiaTheme="minorHAnsi"/>
          <w:b/>
          <w:szCs w:val="28"/>
          <w:lang w:val="ru-RU" w:eastAsia="en-US"/>
        </w:rPr>
      </w:pPr>
      <w:r>
        <w:rPr>
          <w:color w:val="FF0000"/>
          <w:szCs w:val="28"/>
        </w:rPr>
        <w:tab/>
      </w:r>
    </w:p>
    <w:p w:rsidR="002635D5" w:rsidRPr="00DC3A6C" w:rsidRDefault="002635D5" w:rsidP="002635D5">
      <w:pPr>
        <w:pStyle w:val="aa"/>
        <w:rPr>
          <w:sz w:val="28"/>
          <w:szCs w:val="28"/>
          <w:lang w:val="uk-UA"/>
        </w:rPr>
      </w:pPr>
    </w:p>
    <w:p w:rsidR="002635D5" w:rsidRPr="00BC2F8F" w:rsidRDefault="002635D5" w:rsidP="002635D5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76E38B99" wp14:editId="126F55EF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D5" w:rsidRDefault="002635D5" w:rsidP="00657AB0">
      <w:pPr>
        <w:pStyle w:val="aa"/>
        <w:jc w:val="center"/>
        <w:rPr>
          <w:sz w:val="32"/>
          <w:szCs w:val="32"/>
          <w:lang w:val="uk-UA"/>
        </w:rPr>
      </w:pPr>
      <w:r w:rsidRPr="00BC2F8F">
        <w:rPr>
          <w:sz w:val="32"/>
          <w:szCs w:val="32"/>
        </w:rPr>
        <w:t>КИЇВСЬКА ОБЛАСТЬ</w:t>
      </w:r>
    </w:p>
    <w:p w:rsidR="00657AB0" w:rsidRPr="00657AB0" w:rsidRDefault="00657AB0" w:rsidP="00657AB0">
      <w:pPr>
        <w:pStyle w:val="aa"/>
        <w:jc w:val="center"/>
        <w:rPr>
          <w:sz w:val="32"/>
          <w:szCs w:val="32"/>
          <w:lang w:val="uk-UA"/>
        </w:rPr>
      </w:pPr>
    </w:p>
    <w:p w:rsidR="002635D5" w:rsidRPr="00BC2F8F" w:rsidRDefault="002635D5" w:rsidP="00657AB0">
      <w:pPr>
        <w:pStyle w:val="aa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2635D5" w:rsidRPr="00BC2F8F" w:rsidRDefault="002635D5" w:rsidP="00657AB0">
      <w:pPr>
        <w:pStyle w:val="aa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2635D5" w:rsidRPr="00BC2F8F" w:rsidRDefault="002635D5" w:rsidP="00657AB0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A7C14" w:rsidP="00657AB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ДЕВ</w:t>
      </w:r>
      <w:r w:rsidRPr="002A7C14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="002635D5" w:rsidRPr="00BC2F8F">
        <w:rPr>
          <w:b/>
          <w:sz w:val="28"/>
          <w:szCs w:val="28"/>
        </w:rPr>
        <w:t xml:space="preserve">  СЕСІЯ</w:t>
      </w:r>
    </w:p>
    <w:p w:rsidR="002635D5" w:rsidRPr="00BC2F8F" w:rsidRDefault="002635D5" w:rsidP="00657AB0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A7C14" w:rsidP="00657AB0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ПРОЄКТ </w:t>
      </w:r>
      <w:r w:rsidR="002635D5" w:rsidRPr="00BC2F8F">
        <w:rPr>
          <w:b/>
          <w:bCs/>
          <w:sz w:val="32"/>
          <w:szCs w:val="32"/>
        </w:rPr>
        <w:t>РІШЕННЯ</w:t>
      </w:r>
    </w:p>
    <w:p w:rsidR="002635D5" w:rsidRPr="00BC2F8F" w:rsidRDefault="002635D5" w:rsidP="00657AB0">
      <w:pPr>
        <w:pStyle w:val="aa"/>
        <w:jc w:val="center"/>
        <w:rPr>
          <w:color w:val="FF0000"/>
          <w:sz w:val="28"/>
          <w:szCs w:val="28"/>
        </w:rPr>
      </w:pPr>
    </w:p>
    <w:p w:rsidR="003A1086" w:rsidRPr="00394437" w:rsidRDefault="002A7C14" w:rsidP="00657AB0">
      <w:pPr>
        <w:spacing w:after="0" w:line="240" w:lineRule="auto"/>
        <w:ind w:left="-142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6 серп</w:t>
      </w:r>
      <w:proofErr w:type="spellStart"/>
      <w:r w:rsidR="002635D5" w:rsidRPr="00834E83">
        <w:rPr>
          <w:rFonts w:ascii="Times New Roman" w:hAnsi="Times New Roman"/>
          <w:b/>
          <w:sz w:val="28"/>
          <w:szCs w:val="28"/>
          <w:lang w:eastAsia="ru-RU"/>
        </w:rPr>
        <w:t>ня</w:t>
      </w:r>
      <w:proofErr w:type="spellEnd"/>
      <w:r w:rsidR="002635D5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2021 р.                                  </w:t>
      </w:r>
      <w:r w:rsidR="00E050E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2635D5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E050E8">
        <w:rPr>
          <w:rFonts w:ascii="Times New Roman" w:hAnsi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2635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="002635D5"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3A2FCB" w:rsidRDefault="003A2FCB" w:rsidP="00657A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7AB0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2E28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передавального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акту </w:t>
      </w:r>
    </w:p>
    <w:p w:rsidR="00657AB0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</w:t>
      </w:r>
      <w:proofErr w:type="gramStart"/>
      <w:r>
        <w:rPr>
          <w:rFonts w:ascii="Times New Roman" w:hAnsi="Times New Roman"/>
          <w:b/>
          <w:sz w:val="28"/>
          <w:szCs w:val="28"/>
        </w:rPr>
        <w:t>КЗ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Горошківське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навчально-виховне</w:t>
      </w:r>
      <w:proofErr w:type="spellEnd"/>
    </w:p>
    <w:p w:rsidR="00657AB0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</w:t>
      </w:r>
      <w:r w:rsidRPr="00F61F86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>єднання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7AB0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І-ІІ </w:t>
      </w:r>
      <w:proofErr w:type="spellStart"/>
      <w:r>
        <w:rPr>
          <w:rFonts w:ascii="Times New Roman" w:hAnsi="Times New Roman"/>
          <w:b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дитячий садок» </w:t>
      </w:r>
    </w:p>
    <w:p w:rsidR="00657AB0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Тетіївської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b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7AB0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/>
          <w:sz w:val="28"/>
          <w:szCs w:val="28"/>
        </w:rPr>
        <w:t>Денихівського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ліцею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Тетіївської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7AB0" w:rsidRPr="00E22E28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 </w:t>
      </w:r>
      <w:proofErr w:type="spellStart"/>
      <w:r>
        <w:rPr>
          <w:rFonts w:ascii="Times New Roman" w:hAnsi="Times New Roman"/>
          <w:b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657AB0" w:rsidRPr="00E22E28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AB0" w:rsidRDefault="00657AB0" w:rsidP="00657A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582C8A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582C8A">
        <w:rPr>
          <w:rFonts w:ascii="Times New Roman" w:hAnsi="Times New Roman"/>
          <w:sz w:val="28"/>
          <w:szCs w:val="28"/>
        </w:rPr>
        <w:t xml:space="preserve"> до статей 26,</w:t>
      </w:r>
      <w:r>
        <w:rPr>
          <w:rFonts w:ascii="Times New Roman" w:hAnsi="Times New Roman"/>
          <w:sz w:val="28"/>
          <w:szCs w:val="28"/>
        </w:rPr>
        <w:t xml:space="preserve"> 60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ст. 107 </w:t>
      </w:r>
      <w:proofErr w:type="spellStart"/>
      <w:r>
        <w:rPr>
          <w:rFonts w:ascii="Times New Roman" w:hAnsi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ст. 59, 78 </w:t>
      </w:r>
      <w:proofErr w:type="spellStart"/>
      <w:r>
        <w:rPr>
          <w:rFonts w:ascii="Times New Roman" w:hAnsi="Times New Roman"/>
          <w:sz w:val="28"/>
          <w:szCs w:val="28"/>
        </w:rPr>
        <w:t>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реєстрацію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ідприємців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формувань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/>
          <w:sz w:val="28"/>
          <w:szCs w:val="28"/>
        </w:rPr>
        <w:t xml:space="preserve"> 2021 року № 264-06-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реорганізацію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/>
          <w:sz w:val="28"/>
          <w:szCs w:val="28"/>
        </w:rPr>
        <w:t>Горошківське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НВО «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І-ІІ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- дитячий садок»</w:t>
      </w:r>
      <w:r>
        <w:rPr>
          <w:rFonts w:ascii="Times New Roman" w:hAnsi="Times New Roman"/>
          <w:sz w:val="28"/>
          <w:szCs w:val="28"/>
          <w:lang w:val="uk-UA"/>
        </w:rPr>
        <w:t xml:space="preserve">, Тетіївська </w:t>
      </w:r>
      <w:r w:rsidRPr="00582C8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</w:t>
      </w:r>
    </w:p>
    <w:p w:rsidR="00657AB0" w:rsidRDefault="00657AB0" w:rsidP="00657AB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7AB0" w:rsidRDefault="00657AB0" w:rsidP="00657AB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57AB0"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 w:rsidRPr="00657AB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57AB0">
        <w:rPr>
          <w:rFonts w:ascii="Times New Roman" w:hAnsi="Times New Roman"/>
          <w:b/>
          <w:sz w:val="28"/>
          <w:szCs w:val="28"/>
        </w:rPr>
        <w:t xml:space="preserve"> І Ш И Л А:</w:t>
      </w:r>
    </w:p>
    <w:p w:rsidR="00657AB0" w:rsidRPr="00657AB0" w:rsidRDefault="00657AB0" w:rsidP="00657AB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7AB0" w:rsidRDefault="00657AB0" w:rsidP="00657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передавальний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акт з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Горошківське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НВО «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І-ІІ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- дитячий садок» </w:t>
      </w:r>
      <w:proofErr w:type="spellStart"/>
      <w:r>
        <w:rPr>
          <w:rFonts w:ascii="Times New Roman" w:hAnsi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(код ЄДРПОУ 2061588, </w:t>
      </w:r>
      <w:proofErr w:type="spellStart"/>
      <w:r>
        <w:rPr>
          <w:rFonts w:ascii="Times New Roman" w:hAnsi="Times New Roman"/>
          <w:sz w:val="28"/>
          <w:szCs w:val="28"/>
        </w:rPr>
        <w:t>розташований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Горошків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Центральна</w:t>
      </w:r>
      <w:proofErr w:type="gramEnd"/>
      <w:r>
        <w:rPr>
          <w:rFonts w:ascii="Times New Roman" w:hAnsi="Times New Roman"/>
          <w:sz w:val="28"/>
          <w:szCs w:val="28"/>
        </w:rPr>
        <w:t xml:space="preserve">, 57) до </w:t>
      </w:r>
      <w:proofErr w:type="spellStart"/>
      <w:r>
        <w:rPr>
          <w:rFonts w:ascii="Times New Roman" w:hAnsi="Times New Roman"/>
          <w:sz w:val="28"/>
          <w:szCs w:val="28"/>
        </w:rPr>
        <w:t>Денихівського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ліцею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(код ЄДРПОУ 24223555, </w:t>
      </w:r>
      <w:proofErr w:type="spellStart"/>
      <w:r>
        <w:rPr>
          <w:rFonts w:ascii="Times New Roman" w:hAnsi="Times New Roman"/>
          <w:sz w:val="28"/>
          <w:szCs w:val="28"/>
        </w:rPr>
        <w:t>розташований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Денихівка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/>
          <w:sz w:val="28"/>
          <w:szCs w:val="28"/>
        </w:rPr>
        <w:t>, 91).</w:t>
      </w:r>
      <w:proofErr w:type="gramEnd"/>
    </w:p>
    <w:p w:rsidR="00657AB0" w:rsidRDefault="00657AB0" w:rsidP="00657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Горошківське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НВО «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І-ІІ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- дитячий садок» </w:t>
      </w:r>
      <w:proofErr w:type="spellStart"/>
      <w:r>
        <w:rPr>
          <w:rFonts w:ascii="Times New Roman" w:hAnsi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подати </w:t>
      </w:r>
      <w:proofErr w:type="spellStart"/>
      <w:r>
        <w:rPr>
          <w:rFonts w:ascii="Times New Roman" w:hAnsi="Times New Roman"/>
          <w:sz w:val="28"/>
          <w:szCs w:val="28"/>
        </w:rPr>
        <w:t>передавальний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акт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реєстратору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в порядку </w:t>
      </w:r>
      <w:proofErr w:type="spellStart"/>
      <w:r>
        <w:rPr>
          <w:rFonts w:ascii="Times New Roman" w:hAnsi="Times New Roman"/>
          <w:sz w:val="28"/>
          <w:szCs w:val="28"/>
        </w:rPr>
        <w:t>визначеному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7AB0" w:rsidRDefault="00657AB0" w:rsidP="00657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611BB6">
        <w:rPr>
          <w:rFonts w:ascii="Times New Roman" w:hAnsi="Times New Roman"/>
          <w:sz w:val="28"/>
          <w:szCs w:val="28"/>
        </w:rPr>
        <w:t xml:space="preserve">онтроль за </w:t>
      </w:r>
      <w:proofErr w:type="spellStart"/>
      <w:r w:rsidRPr="00611BB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даного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11BB6">
        <w:rPr>
          <w:rFonts w:ascii="Times New Roman" w:hAnsi="Times New Roman"/>
          <w:sz w:val="28"/>
          <w:szCs w:val="28"/>
        </w:rPr>
        <w:t>р</w:t>
      </w:r>
      <w:proofErr w:type="gramEnd"/>
      <w:r w:rsidRPr="00611BB6">
        <w:rPr>
          <w:rFonts w:ascii="Times New Roman" w:hAnsi="Times New Roman"/>
          <w:sz w:val="28"/>
          <w:szCs w:val="28"/>
        </w:rPr>
        <w:t>ішення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11BB6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комісію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11BB6">
        <w:rPr>
          <w:rFonts w:ascii="Times New Roman" w:hAnsi="Times New Roman"/>
          <w:sz w:val="28"/>
          <w:szCs w:val="28"/>
        </w:rPr>
        <w:t>питань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BB6">
        <w:rPr>
          <w:rFonts w:ascii="Times New Roman" w:hAnsi="Times New Roman"/>
          <w:sz w:val="28"/>
          <w:szCs w:val="28"/>
        </w:rPr>
        <w:t>охорони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здоров’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 і спорту.</w:t>
      </w:r>
    </w:p>
    <w:p w:rsidR="00657AB0" w:rsidRPr="00611BB6" w:rsidRDefault="00657AB0" w:rsidP="00657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AB0" w:rsidRPr="00E22E28" w:rsidRDefault="00657AB0" w:rsidP="00657AB0">
      <w:pPr>
        <w:pStyle w:val="a7"/>
        <w:tabs>
          <w:tab w:val="left" w:pos="86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57AB0" w:rsidRPr="00E22E28" w:rsidRDefault="00657AB0" w:rsidP="00657AB0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E22E28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Богдан </w:t>
      </w:r>
      <w:r w:rsidRPr="00E22E28">
        <w:rPr>
          <w:rFonts w:ascii="Times New Roman" w:hAnsi="Times New Roman"/>
          <w:sz w:val="28"/>
          <w:szCs w:val="28"/>
        </w:rPr>
        <w:t xml:space="preserve"> БАЛАГУРА</w:t>
      </w:r>
    </w:p>
    <w:p w:rsidR="00657AB0" w:rsidRPr="00657AB0" w:rsidRDefault="00657AB0" w:rsidP="00657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7AB0" w:rsidRPr="00657AB0" w:rsidSect="008164D8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A63"/>
    <w:multiLevelType w:val="hybridMultilevel"/>
    <w:tmpl w:val="AB7ADDEA"/>
    <w:lvl w:ilvl="0" w:tplc="A8E27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4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6">
    <w:nsid w:val="548A0AFF"/>
    <w:multiLevelType w:val="hybridMultilevel"/>
    <w:tmpl w:val="BD1A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1715"/>
    <w:multiLevelType w:val="hybridMultilevel"/>
    <w:tmpl w:val="106C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70505"/>
    <w:rsid w:val="000B3BBD"/>
    <w:rsid w:val="0010364F"/>
    <w:rsid w:val="002100BD"/>
    <w:rsid w:val="0022067A"/>
    <w:rsid w:val="002635D5"/>
    <w:rsid w:val="002A131C"/>
    <w:rsid w:val="002A61B4"/>
    <w:rsid w:val="002A7C14"/>
    <w:rsid w:val="002C7D7C"/>
    <w:rsid w:val="003714DF"/>
    <w:rsid w:val="003907B5"/>
    <w:rsid w:val="00394437"/>
    <w:rsid w:val="003A1086"/>
    <w:rsid w:val="003A2FCB"/>
    <w:rsid w:val="00417629"/>
    <w:rsid w:val="0051312E"/>
    <w:rsid w:val="00621E20"/>
    <w:rsid w:val="006236C2"/>
    <w:rsid w:val="00657AB0"/>
    <w:rsid w:val="006A7746"/>
    <w:rsid w:val="006E2E62"/>
    <w:rsid w:val="007066B1"/>
    <w:rsid w:val="007419C3"/>
    <w:rsid w:val="008164D8"/>
    <w:rsid w:val="00870942"/>
    <w:rsid w:val="008942E1"/>
    <w:rsid w:val="00A167E8"/>
    <w:rsid w:val="00A35FA5"/>
    <w:rsid w:val="00A60992"/>
    <w:rsid w:val="00A82FF3"/>
    <w:rsid w:val="00AC14E9"/>
    <w:rsid w:val="00AE0A9A"/>
    <w:rsid w:val="00AF6574"/>
    <w:rsid w:val="00BE7BE8"/>
    <w:rsid w:val="00BF428F"/>
    <w:rsid w:val="00C31470"/>
    <w:rsid w:val="00C85024"/>
    <w:rsid w:val="00CE1F81"/>
    <w:rsid w:val="00E050E8"/>
    <w:rsid w:val="00E308E8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3</cp:revision>
  <cp:lastPrinted>2021-08-13T12:06:00Z</cp:lastPrinted>
  <dcterms:created xsi:type="dcterms:W3CDTF">2021-08-13T12:04:00Z</dcterms:created>
  <dcterms:modified xsi:type="dcterms:W3CDTF">2021-08-13T12:06:00Z</dcterms:modified>
</cp:coreProperties>
</file>