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DB" w:rsidRPr="00493144" w:rsidRDefault="005241DB" w:rsidP="005241DB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49314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5241DB" w:rsidRPr="00493144" w:rsidRDefault="005241DB" w:rsidP="00323C8B">
      <w:pPr>
        <w:spacing w:after="0" w:line="240" w:lineRule="auto"/>
        <w:ind w:left="-284" w:firstLine="4679"/>
        <w:rPr>
          <w:rFonts w:ascii="Times New Roman" w:hAnsi="Times New Roman" w:cs="Times New Roman"/>
          <w:noProof/>
          <w:lang w:eastAsia="uk-UA"/>
        </w:rPr>
      </w:pPr>
      <w:r w:rsidRPr="00493144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5B9175A" wp14:editId="38C1C7D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DB" w:rsidRPr="00493144" w:rsidRDefault="005241DB" w:rsidP="005241DB">
      <w:pPr>
        <w:spacing w:after="0" w:line="240" w:lineRule="auto"/>
        <w:ind w:left="-284" w:firstLine="4112"/>
        <w:rPr>
          <w:rFonts w:ascii="Times New Roman" w:hAnsi="Times New Roman" w:cs="Times New Roman"/>
          <w:noProof/>
          <w:lang w:eastAsia="uk-UA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3144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144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3144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44">
        <w:rPr>
          <w:rFonts w:ascii="Times New Roman" w:hAnsi="Times New Roman" w:cs="Times New Roman"/>
          <w:b/>
          <w:sz w:val="28"/>
          <w:szCs w:val="28"/>
        </w:rPr>
        <w:t xml:space="preserve">ДРУГА </w:t>
      </w:r>
      <w:r w:rsidR="00B06A6A">
        <w:rPr>
          <w:rFonts w:ascii="Times New Roman" w:hAnsi="Times New Roman" w:cs="Times New Roman"/>
          <w:b/>
          <w:sz w:val="28"/>
          <w:szCs w:val="28"/>
          <w:lang w:val="uk-UA"/>
        </w:rPr>
        <w:t>ПОЗАЧЕРГОВА</w:t>
      </w:r>
      <w:r w:rsidRPr="00493144">
        <w:rPr>
          <w:rFonts w:ascii="Times New Roman" w:hAnsi="Times New Roman" w:cs="Times New Roman"/>
          <w:b/>
          <w:sz w:val="28"/>
          <w:szCs w:val="28"/>
        </w:rPr>
        <w:t xml:space="preserve"> СЕСІЯ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3144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proofErr w:type="gramStart"/>
      <w:r w:rsidRPr="00493144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493144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1DB" w:rsidRPr="00493144" w:rsidRDefault="005241DB" w:rsidP="005241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493144">
        <w:rPr>
          <w:rFonts w:ascii="Times New Roman" w:hAnsi="Times New Roman" w:cs="Times New Roman"/>
          <w:b/>
          <w:sz w:val="28"/>
          <w:szCs w:val="28"/>
        </w:rPr>
        <w:t xml:space="preserve">    24.12.2020 р.                                                                            №  </w:t>
      </w:r>
      <w:r w:rsidR="00914717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93144">
        <w:rPr>
          <w:rFonts w:ascii="Times New Roman" w:hAnsi="Times New Roman" w:cs="Times New Roman"/>
          <w:b/>
          <w:sz w:val="28"/>
          <w:szCs w:val="28"/>
        </w:rPr>
        <w:t>-</w:t>
      </w:r>
      <w:r w:rsidRPr="0049314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93144">
        <w:rPr>
          <w:rFonts w:ascii="Times New Roman" w:hAnsi="Times New Roman" w:cs="Times New Roman"/>
          <w:b/>
          <w:sz w:val="28"/>
          <w:szCs w:val="28"/>
        </w:rPr>
        <w:t>І</w:t>
      </w:r>
    </w:p>
    <w:p w:rsidR="005241DB" w:rsidRPr="00493144" w:rsidRDefault="005241DB" w:rsidP="005241DB">
      <w:pPr>
        <w:autoSpaceDE w:val="0"/>
        <w:autoSpaceDN w:val="0"/>
        <w:spacing w:after="0" w:line="240" w:lineRule="auto"/>
        <w:ind w:right="1116"/>
        <w:rPr>
          <w:rFonts w:ascii="Times New Roman" w:hAnsi="Times New Roman" w:cs="Times New Roman"/>
          <w:sz w:val="28"/>
          <w:szCs w:val="28"/>
          <w:lang w:val="uk-UA"/>
        </w:rPr>
      </w:pPr>
    </w:p>
    <w:p w:rsidR="00323C8B" w:rsidRDefault="005241DB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7C6ED1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передачу установ культури </w:t>
      </w:r>
      <w:r w:rsidR="00323C8B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із закріпленим </w:t>
      </w:r>
    </w:p>
    <w:p w:rsidR="00323C8B" w:rsidRDefault="005241DB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майном та штатними одиницями комунального </w:t>
      </w:r>
    </w:p>
    <w:p w:rsidR="005241DB" w:rsidRDefault="005241DB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="00323C8B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«Центру культури</w:t>
      </w:r>
      <w:r w:rsidRPr="007C6E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молоді та спорту» </w:t>
      </w:r>
    </w:p>
    <w:p w:rsidR="005241DB" w:rsidRDefault="005241DB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в оперативне управління відділу культури</w:t>
      </w:r>
      <w:r w:rsidRPr="007C6ED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241DB" w:rsidRDefault="005241DB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релігії</w:t>
      </w:r>
      <w:r w:rsidRPr="007C6E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молоді та спорту виконавчого комітету</w:t>
      </w:r>
    </w:p>
    <w:p w:rsidR="005241DB" w:rsidRDefault="005241DB" w:rsidP="005241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Тетіївської міської ради.</w:t>
      </w:r>
    </w:p>
    <w:p w:rsidR="00472417" w:rsidRDefault="00472417" w:rsidP="005241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F38" w:rsidRPr="007C6ED1" w:rsidRDefault="00C64F38" w:rsidP="00C64F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6ED1"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   </w:t>
      </w:r>
      <w:r w:rsidRPr="007C6ED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</w:t>
      </w:r>
      <w:r w:rsidRPr="007C6ED1">
        <w:rPr>
          <w:rFonts w:ascii="Times New Roman" w:hAnsi="Times New Roman"/>
          <w:sz w:val="28"/>
          <w:szCs w:val="28"/>
          <w:lang w:val="uk-UA"/>
        </w:rPr>
        <w:t xml:space="preserve">ідповідно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 ст. 177, 181, 190 Цивільного кодексу України, </w:t>
      </w:r>
      <w:r w:rsidRPr="007C6ED1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52, 55, 62, 63, 66, 73, 78, 134, 137</w:t>
      </w:r>
      <w:r w:rsidRPr="007C6ED1">
        <w:rPr>
          <w:rFonts w:ascii="Times New Roman" w:hAnsi="Times New Roman"/>
          <w:sz w:val="28"/>
          <w:szCs w:val="28"/>
          <w:lang w:val="uk-UA"/>
        </w:rPr>
        <w:t xml:space="preserve"> Господарського кодексу України, розпорядження Кабінету Міністрів України «Про схвалення Концепції реформування місцевого самоврядування та територіальної організації влади в Україні» від 01.04.2014 року №333-р, керуючись статтями 25, 26, 59 Закону України Закону України «Про місцеве самоврядування в Україні», беручи до уваги висновок депутатської комісії з питань соціального</w:t>
      </w:r>
      <w:r w:rsidRPr="007C6ED1">
        <w:rPr>
          <w:sz w:val="28"/>
          <w:szCs w:val="28"/>
          <w:lang w:val="uk-UA"/>
        </w:rPr>
        <w:t xml:space="preserve"> </w:t>
      </w:r>
      <w:r w:rsidRPr="007C6ED1">
        <w:rPr>
          <w:rFonts w:ascii="Times New Roman" w:hAnsi="Times New Roman"/>
          <w:sz w:val="28"/>
          <w:szCs w:val="28"/>
          <w:lang w:val="uk-UA"/>
        </w:rPr>
        <w:t>захисту, охорони здоров</w:t>
      </w:r>
      <w:r w:rsidRPr="00DE36FA">
        <w:rPr>
          <w:rFonts w:ascii="Times New Roman" w:hAnsi="Times New Roman"/>
          <w:sz w:val="28"/>
          <w:szCs w:val="28"/>
          <w:lang w:val="uk-UA"/>
        </w:rPr>
        <w:t>’</w:t>
      </w:r>
      <w:r w:rsidRPr="007C6ED1">
        <w:rPr>
          <w:rFonts w:ascii="Times New Roman" w:hAnsi="Times New Roman"/>
          <w:sz w:val="28"/>
          <w:szCs w:val="28"/>
          <w:lang w:val="uk-UA"/>
        </w:rPr>
        <w:t>я, освіти,  культури, молоді і спорту, міська рада</w:t>
      </w:r>
    </w:p>
    <w:p w:rsidR="00C64F38" w:rsidRDefault="00C64F38" w:rsidP="00C64F38">
      <w:pPr>
        <w:tabs>
          <w:tab w:val="center" w:pos="4677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Pr="00DE36FA" w:rsidRDefault="00C64F38" w:rsidP="00C64F3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E36FA">
        <w:rPr>
          <w:rFonts w:ascii="Times New Roman" w:hAnsi="Times New Roman"/>
          <w:b/>
          <w:bCs/>
          <w:sz w:val="28"/>
          <w:szCs w:val="28"/>
          <w:lang w:val="uk-UA"/>
        </w:rPr>
        <w:t xml:space="preserve">В И Р І Ш И Л А </w:t>
      </w:r>
    </w:p>
    <w:p w:rsidR="00C64F3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F3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Збільшити з 01 січня 2021 року штатну чисельність мережі закладів культури при відділі культури, релігії, молоді та спорту  в кількості 19,1  штатних одиниць </w:t>
      </w:r>
      <w:r w:rsidRPr="00E30D51">
        <w:rPr>
          <w:rFonts w:ascii="Times New Roman" w:hAnsi="Times New Roman"/>
          <w:sz w:val="28"/>
          <w:szCs w:val="28"/>
          <w:lang w:val="uk-UA"/>
        </w:rPr>
        <w:t xml:space="preserve">та 4 штатні одиниці </w:t>
      </w:r>
      <w:r>
        <w:rPr>
          <w:rFonts w:ascii="Times New Roman" w:hAnsi="Times New Roman"/>
          <w:sz w:val="28"/>
          <w:szCs w:val="28"/>
          <w:lang w:val="uk-UA"/>
        </w:rPr>
        <w:t xml:space="preserve">у відділ </w:t>
      </w:r>
      <w:r w:rsidRPr="00E30D51">
        <w:rPr>
          <w:rFonts w:ascii="Times New Roman" w:hAnsi="Times New Roman"/>
          <w:sz w:val="28"/>
          <w:szCs w:val="28"/>
          <w:lang w:val="uk-UA"/>
        </w:rPr>
        <w:t>культури, релігії, молоді та спорту виконавчого комітету Тетіївської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шляхом переведення з КУ «Центр культури, молоді та спорту» до відділу культури, релігії, молоді та спорту виконавчого комітету Тетіївської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1) </w:t>
      </w:r>
    </w:p>
    <w:p w:rsidR="001838E0" w:rsidRDefault="001838E0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F3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7C6ED1">
        <w:rPr>
          <w:rFonts w:ascii="Times New Roman" w:eastAsia="Batang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Передати</w:t>
      </w:r>
      <w:r w:rsidRPr="00FA4FC9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з 01 січня 2021 року майно:  рухоме та не рухоме, з дебіторською та кредиторською заборгованістю установ культури </w:t>
      </w:r>
      <w:r w:rsidR="001838E0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з балансу КУ «Центр культури, молоді та спорту» в оперативне управління (на баланс) відділу культури, релігії, молоді та спорту виконавчого комітету Тетіївської міської ради. </w:t>
      </w:r>
    </w:p>
    <w:p w:rsidR="001838E0" w:rsidRDefault="001838E0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838E0" w:rsidRDefault="001838E0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1838E0" w:rsidRDefault="001838E0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Pr="00A01106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3. Контроль за виконання цього рішення покласти на постійно діючі депутатські комісії з питань планування, бюджету, фінансів та соціально – економічного розвитку, та з питань торгівлі,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житлово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комунального господарства, побутового обслуговування, громадського харчування, управління комунальною власністю, благоустрою, транспорту, зв’язку. </w:t>
      </w:r>
    </w:p>
    <w:p w:rsidR="00C64F3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F38" w:rsidRDefault="00C64F38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8E0" w:rsidRDefault="001838E0" w:rsidP="00C64F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417" w:rsidRDefault="00472417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</w:p>
    <w:p w:rsidR="00472417" w:rsidRDefault="001838E0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</w:t>
      </w:r>
      <w:r w:rsidR="00914717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="00472417">
        <w:rPr>
          <w:rFonts w:ascii="Times New Roman" w:eastAsia="Batang" w:hAnsi="Times New Roman"/>
          <w:sz w:val="28"/>
          <w:szCs w:val="28"/>
          <w:lang w:val="uk-UA" w:eastAsia="ru-RU"/>
        </w:rPr>
        <w:t xml:space="preserve">Міський голова       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</w:t>
      </w:r>
      <w:r w:rsidR="00472417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  </w:t>
      </w:r>
      <w:r w:rsidR="00914717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  </w:t>
      </w:r>
      <w:r w:rsidR="00472417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       Б.БАЛАГУРА</w:t>
      </w:r>
    </w:p>
    <w:p w:rsidR="00472417" w:rsidRDefault="00472417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4724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C64F38" w:rsidRDefault="00C64F38" w:rsidP="001838E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472417" w:rsidRDefault="00472417" w:rsidP="00472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24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472417" w:rsidRPr="00472417" w:rsidRDefault="00472417" w:rsidP="00472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472417">
        <w:rPr>
          <w:rFonts w:ascii="Times New Roman" w:hAnsi="Times New Roman" w:cs="Times New Roman"/>
          <w:sz w:val="28"/>
          <w:szCs w:val="28"/>
          <w:lang w:val="uk-UA"/>
        </w:rPr>
        <w:t xml:space="preserve">Додаток 1                      </w:t>
      </w:r>
    </w:p>
    <w:p w:rsidR="00323C8B" w:rsidRDefault="00472417" w:rsidP="00472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24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до рішення 2 сесії міської ради </w:t>
      </w:r>
    </w:p>
    <w:p w:rsidR="00472417" w:rsidRDefault="00323C8B" w:rsidP="00472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gramStart"/>
      <w:r w:rsidR="00472417" w:rsidRPr="00472417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417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472417" w:rsidRPr="00472417">
        <w:rPr>
          <w:rFonts w:ascii="Times New Roman" w:hAnsi="Times New Roman" w:cs="Times New Roman"/>
          <w:sz w:val="28"/>
          <w:szCs w:val="28"/>
          <w:lang w:val="uk-UA"/>
        </w:rPr>
        <w:t xml:space="preserve"> від 24.12.2020 р.</w:t>
      </w:r>
      <w:proofErr w:type="gramEnd"/>
      <w:r w:rsidR="00472417" w:rsidRPr="00472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2417" w:rsidRDefault="00472417" w:rsidP="00472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472417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323C8B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472417">
        <w:rPr>
          <w:rFonts w:ascii="Times New Roman" w:hAnsi="Times New Roman" w:cs="Times New Roman"/>
          <w:sz w:val="28"/>
          <w:szCs w:val="28"/>
          <w:lang w:val="uk-UA"/>
        </w:rPr>
        <w:t xml:space="preserve"> -02- </w:t>
      </w:r>
      <w:r w:rsidRPr="00472417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472417" w:rsidRDefault="00472417" w:rsidP="00472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690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183"/>
        <w:gridCol w:w="1859"/>
        <w:gridCol w:w="3053"/>
      </w:tblGrid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штатних посад (ставки)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C64F38" w:rsidRPr="00133960" w:rsidTr="001838E0">
        <w:trPr>
          <w:jc w:val="center"/>
        </w:trPr>
        <w:tc>
          <w:tcPr>
            <w:tcW w:w="3778" w:type="dxa"/>
            <w:gridSpan w:val="2"/>
            <w:shd w:val="clear" w:color="auto" w:fill="auto"/>
          </w:tcPr>
          <w:p w:rsidR="00C64F38" w:rsidRPr="00291975" w:rsidRDefault="00C64F38" w:rsidP="001838E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1975">
              <w:rPr>
                <w:rFonts w:ascii="Times New Roman" w:hAnsi="Times New Roman"/>
                <w:lang w:val="uk-UA"/>
              </w:rPr>
              <w:t>Будинки культури та сільські клуби по КПКВМБ 1014060 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 с. Високе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Директор 1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Худ. керівник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прац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. 0,35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культури с.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Денихівка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Директор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.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народного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. 1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Тех. працівник 1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культури с.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Галайки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Директор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дух.оркестру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0,35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Тех.прац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. 0,35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 с.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Софіполь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0,85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Завідуючий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Тех.прац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0,35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культури с.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Кашперівка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Директор 1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Худ. керівник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Тех.працівник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 с. Кошів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Директор 1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Худ.кер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0,75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прац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. 0,35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 с. Погреби 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0,85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Завідуючий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Тех. працівник 0,35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 с. П</w:t>
            </w:r>
            <w:r w:rsidRPr="0013396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ятигори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2,85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Директор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Худ. керівник0,5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Тех. працівник 0,35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Електрик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Кочегар 1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 с.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Одайпіль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0,85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Завідуючий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Тех.прац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. 0,35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культури с.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Теліженці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1,35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Директор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Худ.керівник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Тех. </w:t>
            </w:r>
            <w:proofErr w:type="spellStart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прац</w:t>
            </w:r>
            <w:proofErr w:type="spellEnd"/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. 0,35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 с. Клюки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0,85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Директор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Тех. працівник 0,35 </w:t>
            </w:r>
          </w:p>
        </w:tc>
      </w:tr>
      <w:tr w:rsidR="00C64F38" w:rsidRPr="00133960" w:rsidTr="001838E0">
        <w:trPr>
          <w:jc w:val="center"/>
        </w:trPr>
        <w:tc>
          <w:tcPr>
            <w:tcW w:w="1595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8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Клуб с. Хмелівка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0,85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Завідуючий 0,5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Тех. працівник 0,35</w:t>
            </w:r>
          </w:p>
        </w:tc>
      </w:tr>
      <w:tr w:rsidR="00C64F38" w:rsidRPr="00133960" w:rsidTr="001838E0">
        <w:trPr>
          <w:jc w:val="center"/>
        </w:trPr>
        <w:tc>
          <w:tcPr>
            <w:tcW w:w="3778" w:type="dxa"/>
            <w:gridSpan w:val="2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960">
              <w:rPr>
                <w:rFonts w:ascii="Times New Roman" w:hAnsi="Times New Roman"/>
                <w:sz w:val="24"/>
                <w:szCs w:val="24"/>
                <w:lang w:val="uk-UA"/>
              </w:rPr>
              <w:t>19,1</w:t>
            </w:r>
          </w:p>
        </w:tc>
        <w:tc>
          <w:tcPr>
            <w:tcW w:w="3053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64F38" w:rsidRPr="00133960" w:rsidTr="001838E0">
        <w:trPr>
          <w:jc w:val="center"/>
        </w:trPr>
        <w:tc>
          <w:tcPr>
            <w:tcW w:w="3778" w:type="dxa"/>
            <w:gridSpan w:val="2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(по </w:t>
            </w:r>
            <w:r w:rsidRPr="00291975">
              <w:rPr>
                <w:rFonts w:ascii="Times New Roman" w:hAnsi="Times New Roman"/>
                <w:lang w:val="uk-UA"/>
              </w:rPr>
              <w:t>КПКВМБ 1014081 Інші заклади в галузі культури і мистецтва)</w:t>
            </w:r>
          </w:p>
        </w:tc>
        <w:tc>
          <w:tcPr>
            <w:tcW w:w="1859" w:type="dxa"/>
            <w:shd w:val="clear" w:color="auto" w:fill="auto"/>
          </w:tcPr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:rsidR="00C64F38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3</w:t>
            </w:r>
          </w:p>
          <w:p w:rsidR="00C64F38" w:rsidRPr="00133960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Бухгалтер 1</w:t>
            </w:r>
          </w:p>
        </w:tc>
      </w:tr>
      <w:tr w:rsidR="00C64F38" w:rsidTr="001838E0">
        <w:trPr>
          <w:jc w:val="center"/>
        </w:trPr>
        <w:tc>
          <w:tcPr>
            <w:tcW w:w="3778" w:type="dxa"/>
            <w:gridSpan w:val="2"/>
            <w:shd w:val="clear" w:color="auto" w:fill="auto"/>
          </w:tcPr>
          <w:p w:rsidR="00C64F38" w:rsidRDefault="00C64F38" w:rsidP="00183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59" w:type="dxa"/>
            <w:shd w:val="clear" w:color="auto" w:fill="auto"/>
          </w:tcPr>
          <w:p w:rsidR="00C64F38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3053" w:type="dxa"/>
            <w:shd w:val="clear" w:color="auto" w:fill="auto"/>
          </w:tcPr>
          <w:p w:rsidR="00C64F38" w:rsidRDefault="00C64F38" w:rsidP="0018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72417" w:rsidRPr="00472417" w:rsidRDefault="00472417" w:rsidP="00183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2417" w:rsidRPr="007C2013" w:rsidRDefault="00472417" w:rsidP="001838E0">
      <w:pPr>
        <w:spacing w:after="0" w:line="240" w:lineRule="auto"/>
        <w:jc w:val="center"/>
        <w:rPr>
          <w:lang w:val="uk-UA"/>
        </w:rPr>
      </w:pPr>
    </w:p>
    <w:p w:rsidR="002C330C" w:rsidRPr="001838E0" w:rsidRDefault="00472417" w:rsidP="001838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  </w:t>
      </w:r>
      <w:r w:rsidR="00B06A6A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  Секретар ради                                    Н.ІВАНЮТА</w:t>
      </w:r>
      <w:bookmarkStart w:id="0" w:name="_GoBack"/>
      <w:bookmarkEnd w:id="0"/>
    </w:p>
    <w:sectPr w:rsidR="002C330C" w:rsidRPr="001838E0" w:rsidSect="001838E0">
      <w:pgSz w:w="11906" w:h="16838"/>
      <w:pgMar w:top="284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0"/>
    <w:rsid w:val="000F7689"/>
    <w:rsid w:val="001838E0"/>
    <w:rsid w:val="00323C8B"/>
    <w:rsid w:val="00472417"/>
    <w:rsid w:val="005241DB"/>
    <w:rsid w:val="008B2640"/>
    <w:rsid w:val="00914717"/>
    <w:rsid w:val="00B06A6A"/>
    <w:rsid w:val="00C64F38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D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D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2020-12-29T09:23:00Z</cp:lastPrinted>
  <dcterms:created xsi:type="dcterms:W3CDTF">2020-12-24T10:29:00Z</dcterms:created>
  <dcterms:modified xsi:type="dcterms:W3CDTF">2020-12-29T09:25:00Z</dcterms:modified>
</cp:coreProperties>
</file>