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0B" w:rsidRPr="00860444" w:rsidRDefault="008C330B" w:rsidP="008C330B">
      <w:pPr>
        <w:ind w:left="-284" w:firstLine="4537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6C160CC4" wp14:editId="24F49CD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0B" w:rsidRPr="00860444" w:rsidRDefault="008C330B" w:rsidP="008C330B">
      <w:pPr>
        <w:ind w:left="-284" w:firstLine="4112"/>
        <w:rPr>
          <w:noProof/>
          <w:lang w:eastAsia="uk-UA"/>
        </w:rPr>
      </w:pP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860444">
        <w:rPr>
          <w:sz w:val="32"/>
          <w:szCs w:val="32"/>
        </w:rPr>
        <w:t>КИЇВСЬКА ОБЛАСТЬ</w:t>
      </w: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860444">
        <w:rPr>
          <w:b/>
          <w:sz w:val="32"/>
          <w:szCs w:val="32"/>
        </w:rPr>
        <w:t>ТЕТІЇВСЬКА МІСЬКА РАДА</w:t>
      </w: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0444">
        <w:rPr>
          <w:b/>
          <w:sz w:val="28"/>
          <w:szCs w:val="28"/>
          <w:lang w:val="en-US"/>
        </w:rPr>
        <w:t>V</w:t>
      </w:r>
      <w:r w:rsidRPr="00860444">
        <w:rPr>
          <w:b/>
          <w:sz w:val="28"/>
          <w:szCs w:val="28"/>
        </w:rPr>
        <w:t>ІІІ СКЛИКАННЯ</w:t>
      </w: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</w:t>
      </w:r>
      <w:r w:rsidR="00C77A78">
        <w:rPr>
          <w:b/>
          <w:sz w:val="28"/>
          <w:szCs w:val="28"/>
        </w:rPr>
        <w:t xml:space="preserve"> ПОЗАЧЕРГОВА</w:t>
      </w:r>
      <w:r>
        <w:rPr>
          <w:b/>
          <w:sz w:val="28"/>
          <w:szCs w:val="28"/>
        </w:rPr>
        <w:t xml:space="preserve"> </w:t>
      </w:r>
      <w:r w:rsidRPr="00860444">
        <w:rPr>
          <w:b/>
          <w:sz w:val="28"/>
          <w:szCs w:val="28"/>
        </w:rPr>
        <w:t xml:space="preserve"> СЕСІЯ</w:t>
      </w:r>
    </w:p>
    <w:p w:rsidR="008C330B" w:rsidRPr="00860444" w:rsidRDefault="008C330B" w:rsidP="008C330B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8C330B" w:rsidRPr="00860444" w:rsidRDefault="008C330B" w:rsidP="0084222A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860444">
        <w:rPr>
          <w:b/>
          <w:bCs/>
          <w:sz w:val="32"/>
          <w:szCs w:val="32"/>
        </w:rPr>
        <w:t xml:space="preserve">Р І Ш Е Н </w:t>
      </w:r>
      <w:proofErr w:type="spellStart"/>
      <w:r w:rsidRPr="00860444">
        <w:rPr>
          <w:b/>
          <w:bCs/>
          <w:sz w:val="32"/>
          <w:szCs w:val="32"/>
        </w:rPr>
        <w:t>Н</w:t>
      </w:r>
      <w:proofErr w:type="spellEnd"/>
      <w:r w:rsidRPr="00860444">
        <w:rPr>
          <w:b/>
          <w:bCs/>
          <w:sz w:val="32"/>
          <w:szCs w:val="32"/>
        </w:rPr>
        <w:t xml:space="preserve"> Я</w:t>
      </w:r>
    </w:p>
    <w:p w:rsidR="008C330B" w:rsidRPr="00860444" w:rsidRDefault="008C330B" w:rsidP="0084222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8C330B" w:rsidRPr="004B3C3C" w:rsidRDefault="008C330B" w:rsidP="0084222A">
      <w:pPr>
        <w:widowControl w:val="0"/>
        <w:autoSpaceDE w:val="0"/>
        <w:autoSpaceDN w:val="0"/>
        <w:ind w:hanging="284"/>
        <w:rPr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    24</w:t>
      </w:r>
      <w:r w:rsidRPr="00860444">
        <w:rPr>
          <w:b/>
          <w:sz w:val="28"/>
          <w:szCs w:val="28"/>
        </w:rPr>
        <w:t xml:space="preserve">.12.2020 р.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84222A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 - 02</w:t>
      </w:r>
      <w:r w:rsidRPr="00860444">
        <w:rPr>
          <w:b/>
          <w:sz w:val="28"/>
          <w:szCs w:val="28"/>
        </w:rPr>
        <w:t>-</w:t>
      </w:r>
      <w:r w:rsidRPr="00860444">
        <w:rPr>
          <w:b/>
          <w:sz w:val="28"/>
          <w:szCs w:val="28"/>
          <w:lang w:val="en-US"/>
        </w:rPr>
        <w:t>VII</w:t>
      </w:r>
      <w:r w:rsidRPr="00860444">
        <w:rPr>
          <w:b/>
          <w:sz w:val="28"/>
          <w:szCs w:val="28"/>
        </w:rPr>
        <w:t>І</w:t>
      </w:r>
    </w:p>
    <w:p w:rsidR="00AF6B18" w:rsidRPr="00AE09AD" w:rsidRDefault="00AF6B18" w:rsidP="0084222A">
      <w:pPr>
        <w:tabs>
          <w:tab w:val="left" w:pos="9498"/>
        </w:tabs>
        <w:jc w:val="both"/>
        <w:rPr>
          <w:sz w:val="28"/>
          <w:szCs w:val="28"/>
        </w:rPr>
      </w:pPr>
    </w:p>
    <w:p w:rsidR="00034C79" w:rsidRPr="008C330B" w:rsidRDefault="00BA170D" w:rsidP="0084222A">
      <w:pPr>
        <w:pStyle w:val="a7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6361F6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</w:t>
      </w:r>
      <w:r w:rsid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атвердження </w:t>
      </w:r>
      <w:r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Положення про </w:t>
      </w:r>
    </w:p>
    <w:p w:rsidR="008C330B" w:rsidRDefault="000039A5" w:rsidP="0084222A">
      <w:pPr>
        <w:pStyle w:val="a7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Ф</w:t>
      </w:r>
      <w:r w:rsidR="00BA170D"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онд охорони навколишнього</w:t>
      </w:r>
      <w:r w:rsidR="00034C79"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39A5" w:rsidRDefault="00BA170D" w:rsidP="0084222A">
      <w:pPr>
        <w:pStyle w:val="a7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природного середовища</w:t>
      </w:r>
      <w:r w:rsidR="00034C79" w:rsidRPr="008C330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0039A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Тетіївської </w:t>
      </w:r>
    </w:p>
    <w:p w:rsidR="00415942" w:rsidRDefault="000039A5" w:rsidP="0084222A">
      <w:pPr>
        <w:pStyle w:val="a7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територіальної громади</w:t>
      </w:r>
    </w:p>
    <w:p w:rsidR="0084222A" w:rsidRPr="008C330B" w:rsidRDefault="0084222A" w:rsidP="0084222A">
      <w:pPr>
        <w:pStyle w:val="a7"/>
        <w:shd w:val="clear" w:color="auto" w:fill="FCFCFC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34C79" w:rsidRPr="0084222A" w:rsidRDefault="00034C79" w:rsidP="0084222A">
      <w:pPr>
        <w:pStyle w:val="a7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4222A">
        <w:rPr>
          <w:sz w:val="28"/>
          <w:szCs w:val="28"/>
          <w:lang w:val="uk-UA"/>
        </w:rPr>
        <w:t xml:space="preserve">Відповідно до </w:t>
      </w:r>
      <w:r w:rsidR="0084222A" w:rsidRPr="0084222A">
        <w:rPr>
          <w:sz w:val="28"/>
          <w:szCs w:val="28"/>
          <w:lang w:val="uk-UA"/>
        </w:rPr>
        <w:t>пункту є) статті</w:t>
      </w:r>
      <w:r w:rsidR="00D14582" w:rsidRPr="0084222A">
        <w:rPr>
          <w:sz w:val="28"/>
          <w:szCs w:val="28"/>
          <w:lang w:val="uk-UA"/>
        </w:rPr>
        <w:t xml:space="preserve"> 15, </w:t>
      </w:r>
      <w:r w:rsidR="0084222A" w:rsidRPr="0084222A">
        <w:rPr>
          <w:sz w:val="28"/>
          <w:szCs w:val="28"/>
          <w:lang w:val="uk-UA"/>
        </w:rPr>
        <w:t>пункту</w:t>
      </w:r>
      <w:r w:rsidR="00DB233F" w:rsidRPr="0084222A">
        <w:rPr>
          <w:sz w:val="28"/>
          <w:szCs w:val="28"/>
          <w:lang w:val="uk-UA"/>
        </w:rPr>
        <w:t xml:space="preserve"> </w:t>
      </w:r>
      <w:r w:rsidR="0084222A" w:rsidRPr="0084222A">
        <w:rPr>
          <w:sz w:val="28"/>
          <w:szCs w:val="28"/>
          <w:lang w:val="uk-UA"/>
        </w:rPr>
        <w:t>є) статті</w:t>
      </w:r>
      <w:r w:rsidRPr="0084222A">
        <w:rPr>
          <w:sz w:val="28"/>
          <w:szCs w:val="28"/>
          <w:lang w:val="uk-UA"/>
        </w:rPr>
        <w:t xml:space="preserve"> 19,</w:t>
      </w:r>
      <w:r w:rsidR="00ED49E1" w:rsidRPr="0084222A">
        <w:rPr>
          <w:sz w:val="28"/>
          <w:szCs w:val="28"/>
          <w:lang w:val="uk-UA"/>
        </w:rPr>
        <w:t xml:space="preserve"> статей 42, 46 та</w:t>
      </w:r>
      <w:r w:rsidRPr="0084222A">
        <w:rPr>
          <w:sz w:val="28"/>
          <w:szCs w:val="28"/>
          <w:lang w:val="uk-UA"/>
        </w:rPr>
        <w:t xml:space="preserve"> 47 Закону України «Про охорону навколишн</w:t>
      </w:r>
      <w:r w:rsidR="0084222A" w:rsidRPr="0084222A">
        <w:rPr>
          <w:sz w:val="28"/>
          <w:szCs w:val="28"/>
          <w:lang w:val="uk-UA"/>
        </w:rPr>
        <w:t>ього природного середовища», статті</w:t>
      </w:r>
      <w:r w:rsidRPr="0084222A">
        <w:rPr>
          <w:sz w:val="28"/>
          <w:szCs w:val="28"/>
          <w:lang w:val="uk-UA"/>
        </w:rPr>
        <w:t xml:space="preserve"> 69-1 Бюджетного кодексу України</w:t>
      </w:r>
      <w:r w:rsidR="00D14582" w:rsidRPr="0084222A">
        <w:rPr>
          <w:sz w:val="28"/>
          <w:szCs w:val="28"/>
          <w:lang w:val="uk-UA"/>
        </w:rPr>
        <w:t>, статей 9, 240, 242 та 250 Податкового кодексу України</w:t>
      </w:r>
      <w:r w:rsidR="00ED49E1" w:rsidRPr="0084222A">
        <w:rPr>
          <w:sz w:val="28"/>
          <w:szCs w:val="28"/>
          <w:lang w:val="uk-UA"/>
        </w:rPr>
        <w:t>, постанов Кабінету Міністрів України від 17.09.1996р. №1147 «Про затвердження переліку видів діяльності, що належать до природоохоронних заходів»</w:t>
      </w:r>
      <w:r w:rsidR="00DB233F" w:rsidRPr="0084222A">
        <w:rPr>
          <w:sz w:val="28"/>
          <w:szCs w:val="28"/>
          <w:lang w:val="uk-UA"/>
        </w:rPr>
        <w:t xml:space="preserve">, від 07.05.1998р. № 634 «Про затвердження Положення про Державний фонд охорони навколишнього природного середовища», з метою забезпечення належного фінансування заходів з охорони навколишнього природного середовища та цільового використання коштів, а також поліпшення екологічної ситуації </w:t>
      </w:r>
      <w:r w:rsidR="00BA1D0D" w:rsidRPr="0084222A">
        <w:rPr>
          <w:sz w:val="28"/>
          <w:szCs w:val="28"/>
          <w:lang w:val="uk-UA"/>
        </w:rPr>
        <w:t>на території населених пунктів, що входять до складу Тетіївської</w:t>
      </w:r>
      <w:r w:rsidR="000039A5">
        <w:rPr>
          <w:sz w:val="28"/>
          <w:szCs w:val="28"/>
          <w:lang w:val="uk-UA"/>
        </w:rPr>
        <w:t xml:space="preserve"> територіальної громади</w:t>
      </w:r>
      <w:r w:rsidR="00DB233F" w:rsidRPr="0084222A">
        <w:rPr>
          <w:sz w:val="28"/>
          <w:szCs w:val="28"/>
          <w:lang w:val="uk-UA"/>
        </w:rPr>
        <w:t xml:space="preserve">, </w:t>
      </w:r>
      <w:r w:rsidR="005267CA" w:rsidRPr="0084222A">
        <w:rPr>
          <w:sz w:val="28"/>
          <w:szCs w:val="28"/>
          <w:lang w:val="uk-UA"/>
        </w:rPr>
        <w:t xml:space="preserve">керуючись статтями </w:t>
      </w:r>
      <w:r w:rsidR="00DB233F" w:rsidRPr="0084222A">
        <w:rPr>
          <w:sz w:val="28"/>
          <w:szCs w:val="28"/>
          <w:lang w:val="uk-UA"/>
        </w:rPr>
        <w:t>26</w:t>
      </w:r>
      <w:r w:rsidR="005267CA" w:rsidRPr="0084222A">
        <w:rPr>
          <w:sz w:val="28"/>
          <w:szCs w:val="28"/>
          <w:lang w:val="uk-UA"/>
        </w:rPr>
        <w:t>, 68</w:t>
      </w:r>
      <w:r w:rsidR="00D65F40" w:rsidRPr="0084222A">
        <w:rPr>
          <w:sz w:val="28"/>
          <w:szCs w:val="28"/>
          <w:lang w:val="uk-UA"/>
        </w:rPr>
        <w:t xml:space="preserve"> Закону України «Про </w:t>
      </w:r>
      <w:r w:rsidR="00DB233F" w:rsidRPr="0084222A">
        <w:rPr>
          <w:sz w:val="28"/>
          <w:szCs w:val="28"/>
          <w:lang w:val="uk-UA"/>
        </w:rPr>
        <w:t>міс</w:t>
      </w:r>
      <w:r w:rsidR="00D65F40" w:rsidRPr="0084222A">
        <w:rPr>
          <w:sz w:val="28"/>
          <w:szCs w:val="28"/>
          <w:lang w:val="uk-UA"/>
        </w:rPr>
        <w:t xml:space="preserve">цеве самоврядування в Україні», </w:t>
      </w:r>
      <w:r w:rsidR="008C330B" w:rsidRPr="0084222A">
        <w:rPr>
          <w:sz w:val="28"/>
          <w:szCs w:val="28"/>
          <w:lang w:val="uk-UA"/>
        </w:rPr>
        <w:t xml:space="preserve">Тетіївська </w:t>
      </w:r>
      <w:r w:rsidR="00DB233F" w:rsidRPr="0084222A">
        <w:rPr>
          <w:bCs/>
          <w:sz w:val="28"/>
          <w:szCs w:val="28"/>
          <w:lang w:val="uk-UA"/>
        </w:rPr>
        <w:t>міська рада</w:t>
      </w:r>
    </w:p>
    <w:p w:rsidR="00BA170D" w:rsidRPr="0084222A" w:rsidRDefault="008C330B" w:rsidP="00BA170D">
      <w:pPr>
        <w:pStyle w:val="a7"/>
        <w:shd w:val="clear" w:color="auto" w:fill="FCFCFC"/>
        <w:spacing w:before="240" w:after="240"/>
        <w:textAlignment w:val="baseline"/>
        <w:rPr>
          <w:b/>
          <w:sz w:val="28"/>
          <w:szCs w:val="28"/>
          <w:lang w:val="uk-UA"/>
        </w:rPr>
      </w:pPr>
      <w:r w:rsidRPr="0084222A">
        <w:rPr>
          <w:b/>
          <w:bCs/>
          <w:sz w:val="28"/>
          <w:szCs w:val="28"/>
          <w:lang w:val="uk-UA"/>
        </w:rPr>
        <w:t xml:space="preserve">                                      </w:t>
      </w:r>
      <w:r w:rsidR="00BA170D" w:rsidRPr="0084222A">
        <w:rPr>
          <w:b/>
          <w:bCs/>
          <w:sz w:val="28"/>
          <w:szCs w:val="28"/>
          <w:lang w:val="uk-UA"/>
        </w:rPr>
        <w:t>В И Р І Ш И Л А:</w:t>
      </w:r>
    </w:p>
    <w:p w:rsidR="00BA170D" w:rsidRDefault="0039169C" w:rsidP="00EA50D2">
      <w:pPr>
        <w:pStyle w:val="a7"/>
        <w:numPr>
          <w:ilvl w:val="0"/>
          <w:numId w:val="9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FD1E33">
        <w:rPr>
          <w:color w:val="000000" w:themeColor="text1"/>
          <w:sz w:val="28"/>
          <w:szCs w:val="28"/>
          <w:lang w:val="uk-UA"/>
        </w:rPr>
        <w:t xml:space="preserve">атвердити </w:t>
      </w:r>
      <w:r w:rsidR="00BA170D" w:rsidRPr="00C60A70">
        <w:rPr>
          <w:color w:val="000000" w:themeColor="text1"/>
          <w:sz w:val="28"/>
          <w:szCs w:val="28"/>
          <w:lang w:val="uk-UA"/>
        </w:rPr>
        <w:t>Положення про</w:t>
      </w:r>
      <w:r w:rsidR="007C4242">
        <w:rPr>
          <w:color w:val="000000" w:themeColor="text1"/>
          <w:sz w:val="28"/>
          <w:szCs w:val="28"/>
          <w:lang w:val="uk-UA"/>
        </w:rPr>
        <w:t xml:space="preserve"> цільовий</w:t>
      </w:r>
      <w:r w:rsidR="000039A5">
        <w:rPr>
          <w:color w:val="000000" w:themeColor="text1"/>
          <w:sz w:val="28"/>
          <w:szCs w:val="28"/>
          <w:lang w:val="uk-UA"/>
        </w:rPr>
        <w:t xml:space="preserve"> Ф</w:t>
      </w:r>
      <w:r w:rsidR="00BA170D" w:rsidRPr="00C60A70">
        <w:rPr>
          <w:color w:val="000000" w:themeColor="text1"/>
          <w:sz w:val="28"/>
          <w:szCs w:val="28"/>
          <w:lang w:val="uk-UA"/>
        </w:rPr>
        <w:t>онд охорони навколишнього природного середовища</w:t>
      </w:r>
      <w:r w:rsidR="000039A5">
        <w:rPr>
          <w:color w:val="000000" w:themeColor="text1"/>
          <w:sz w:val="28"/>
          <w:szCs w:val="28"/>
          <w:lang w:val="uk-UA"/>
        </w:rPr>
        <w:t xml:space="preserve"> Тетіївської територіальної громади</w:t>
      </w:r>
      <w:r w:rsidR="00BA170D" w:rsidRPr="00C60A70">
        <w:rPr>
          <w:color w:val="000000" w:themeColor="text1"/>
          <w:sz w:val="28"/>
          <w:szCs w:val="28"/>
          <w:lang w:val="uk-UA"/>
        </w:rPr>
        <w:t xml:space="preserve"> </w:t>
      </w:r>
      <w:r w:rsidR="007C4242">
        <w:rPr>
          <w:color w:val="000000" w:themeColor="text1"/>
          <w:sz w:val="28"/>
          <w:szCs w:val="28"/>
          <w:lang w:val="uk-UA"/>
        </w:rPr>
        <w:t>(далі – Положення)</w:t>
      </w:r>
      <w:r w:rsidR="00BA170D" w:rsidRPr="00C60A70">
        <w:rPr>
          <w:color w:val="000000" w:themeColor="text1"/>
          <w:sz w:val="28"/>
          <w:szCs w:val="28"/>
          <w:lang w:val="uk-UA"/>
        </w:rPr>
        <w:t>, що додається.</w:t>
      </w:r>
    </w:p>
    <w:p w:rsidR="00AA1896" w:rsidRDefault="00AA1896" w:rsidP="00AA1896">
      <w:pPr>
        <w:pStyle w:val="a7"/>
        <w:numPr>
          <w:ilvl w:val="0"/>
          <w:numId w:val="9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Контроль за виконанням даного рішення покласти на постійні комісії міської ради:</w:t>
      </w:r>
    </w:p>
    <w:p w:rsidR="00AA1896" w:rsidRDefault="00AA1896" w:rsidP="00AA1896">
      <w:pPr>
        <w:pStyle w:val="a7"/>
        <w:shd w:val="clear" w:color="auto" w:fill="FCFCFC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з питань планування, бюджету, фінансів та соціально- економічного розвитку </w:t>
      </w:r>
      <w:r w:rsidR="00EC0995">
        <w:rPr>
          <w:color w:val="000000" w:themeColor="text1"/>
          <w:sz w:val="28"/>
          <w:szCs w:val="28"/>
          <w:lang w:val="uk-UA"/>
        </w:rPr>
        <w:t>громади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1222DE" w:rsidRDefault="00AA1896" w:rsidP="00F1603D">
      <w:pPr>
        <w:pStyle w:val="a7"/>
        <w:shd w:val="clear" w:color="auto" w:fill="FCFCFC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 питань регулювання земельних відносин, архітектури, будівництва та охорони навколишнього середовища.</w:t>
      </w:r>
    </w:p>
    <w:p w:rsidR="0084222A" w:rsidRPr="00F1603D" w:rsidRDefault="0084222A" w:rsidP="00F1603D">
      <w:pPr>
        <w:pStyle w:val="a7"/>
        <w:shd w:val="clear" w:color="auto" w:fill="FCFCFC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6F4C55" w:rsidRDefault="0084222A" w:rsidP="00FF03BF">
      <w:pPr>
        <w:pStyle w:val="a7"/>
        <w:shd w:val="clear" w:color="auto" w:fill="FCFCFC"/>
        <w:spacing w:before="240" w:after="240"/>
        <w:ind w:firstLine="435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D65F40" w:rsidRPr="0021537D">
        <w:rPr>
          <w:sz w:val="28"/>
          <w:lang w:val="uk-UA"/>
        </w:rPr>
        <w:t xml:space="preserve">Міський голова                                                          </w:t>
      </w:r>
      <w:r w:rsidR="00F1603D">
        <w:rPr>
          <w:sz w:val="28"/>
          <w:lang w:val="uk-UA"/>
        </w:rPr>
        <w:t>Б.</w:t>
      </w:r>
      <w:r w:rsidR="00D65F40">
        <w:rPr>
          <w:sz w:val="28"/>
          <w:lang w:val="uk-UA"/>
        </w:rPr>
        <w:t xml:space="preserve"> БАЛАГУРА</w:t>
      </w:r>
    </w:p>
    <w:p w:rsidR="0084222A" w:rsidRDefault="0084222A" w:rsidP="00FF03BF">
      <w:pPr>
        <w:pStyle w:val="a7"/>
        <w:shd w:val="clear" w:color="auto" w:fill="FCFCFC"/>
        <w:spacing w:before="240" w:after="240"/>
        <w:ind w:firstLine="435"/>
        <w:textAlignment w:val="baseline"/>
        <w:rPr>
          <w:sz w:val="28"/>
          <w:lang w:val="uk-UA"/>
        </w:rPr>
      </w:pPr>
    </w:p>
    <w:p w:rsidR="001B40D6" w:rsidRPr="00AE09AD" w:rsidRDefault="001B40D6" w:rsidP="00F1603D">
      <w:pPr>
        <w:pStyle w:val="Style7"/>
        <w:widowControl/>
        <w:spacing w:line="240" w:lineRule="auto"/>
        <w:ind w:firstLine="6521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Додаток </w:t>
      </w:r>
    </w:p>
    <w:p w:rsidR="00F1603D" w:rsidRDefault="00F1603D" w:rsidP="00F1603D">
      <w:pPr>
        <w:pStyle w:val="Style7"/>
        <w:widowControl/>
        <w:spacing w:line="240" w:lineRule="auto"/>
        <w:rPr>
          <w:sz w:val="28"/>
          <w:szCs w:val="28"/>
          <w:lang w:val="uk-UA"/>
        </w:rPr>
      </w:pPr>
    </w:p>
    <w:p w:rsidR="00F1603D" w:rsidRDefault="00F1603D" w:rsidP="00F1603D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</w:t>
      </w:r>
      <w:r w:rsidR="001B40D6" w:rsidRPr="00AE09AD">
        <w:rPr>
          <w:sz w:val="28"/>
          <w:szCs w:val="28"/>
          <w:lang w:val="uk-UA"/>
        </w:rPr>
        <w:t xml:space="preserve">о рішення </w:t>
      </w:r>
      <w:r>
        <w:rPr>
          <w:sz w:val="28"/>
          <w:szCs w:val="28"/>
          <w:lang w:val="uk-UA"/>
        </w:rPr>
        <w:t xml:space="preserve">2 </w:t>
      </w:r>
      <w:r w:rsidR="001B40D6" w:rsidRPr="00AE09AD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міської ради </w:t>
      </w:r>
    </w:p>
    <w:p w:rsidR="00F1603D" w:rsidRDefault="00F1603D" w:rsidP="00F1603D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 </w:t>
      </w:r>
      <w:r w:rsidR="001B40D6" w:rsidRPr="00AE09AD">
        <w:rPr>
          <w:sz w:val="28"/>
          <w:szCs w:val="28"/>
          <w:lang w:val="uk-UA"/>
        </w:rPr>
        <w:t>від</w:t>
      </w:r>
      <w:proofErr w:type="gramEnd"/>
      <w:r w:rsidR="001B40D6" w:rsidRPr="00AE0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24.12.</w:t>
      </w:r>
      <w:r w:rsidR="001B40D6" w:rsidRPr="00AE09AD">
        <w:rPr>
          <w:sz w:val="28"/>
          <w:szCs w:val="28"/>
          <w:lang w:val="uk-UA"/>
        </w:rPr>
        <w:t>20</w:t>
      </w:r>
      <w:r w:rsidR="001B40D6">
        <w:rPr>
          <w:sz w:val="28"/>
          <w:szCs w:val="28"/>
          <w:lang w:val="uk-UA"/>
        </w:rPr>
        <w:t>21</w:t>
      </w:r>
      <w:r w:rsidR="001B40D6" w:rsidRPr="00AE09AD">
        <w:rPr>
          <w:sz w:val="28"/>
          <w:szCs w:val="28"/>
          <w:lang w:val="uk-UA"/>
        </w:rPr>
        <w:t xml:space="preserve"> р. </w:t>
      </w:r>
    </w:p>
    <w:p w:rsidR="001B40D6" w:rsidRPr="00F1603D" w:rsidRDefault="00F1603D" w:rsidP="00F1603D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1B40D6" w:rsidRPr="00AE09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4222A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-02-</w:t>
      </w:r>
      <w:r>
        <w:rPr>
          <w:sz w:val="28"/>
          <w:szCs w:val="28"/>
          <w:lang w:val="en-US"/>
        </w:rPr>
        <w:t>VIII</w:t>
      </w:r>
    </w:p>
    <w:p w:rsidR="001B40D6" w:rsidRPr="00AE09AD" w:rsidRDefault="001B40D6" w:rsidP="001B40D6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84222A" w:rsidRDefault="00AE09AD" w:rsidP="00F1603D">
      <w:pPr>
        <w:pStyle w:val="a7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lang w:val="uk-UA"/>
        </w:rPr>
      </w:pPr>
      <w:r w:rsidRPr="0084222A">
        <w:rPr>
          <w:b/>
          <w:bCs/>
          <w:sz w:val="32"/>
          <w:szCs w:val="32"/>
          <w:lang w:val="uk-UA"/>
        </w:rPr>
        <w:t>Положення</w:t>
      </w:r>
      <w:r w:rsidRPr="0084222A">
        <w:rPr>
          <w:sz w:val="32"/>
          <w:szCs w:val="32"/>
          <w:lang w:val="uk-UA"/>
        </w:rPr>
        <w:br/>
      </w:r>
      <w:r w:rsidR="00495BA7" w:rsidRPr="0084222A">
        <w:rPr>
          <w:b/>
          <w:bCs/>
          <w:sz w:val="32"/>
          <w:szCs w:val="32"/>
          <w:lang w:val="uk-UA"/>
        </w:rPr>
        <w:t>про</w:t>
      </w:r>
      <w:r w:rsidR="0084222A">
        <w:rPr>
          <w:b/>
          <w:bCs/>
          <w:sz w:val="32"/>
          <w:szCs w:val="32"/>
          <w:lang w:val="uk-UA"/>
        </w:rPr>
        <w:t xml:space="preserve"> Ф</w:t>
      </w:r>
      <w:r w:rsidRPr="0084222A">
        <w:rPr>
          <w:b/>
          <w:bCs/>
          <w:sz w:val="32"/>
          <w:szCs w:val="32"/>
          <w:lang w:val="uk-UA"/>
        </w:rPr>
        <w:t xml:space="preserve">онд охорони навколишнього </w:t>
      </w:r>
    </w:p>
    <w:p w:rsidR="000039A5" w:rsidRDefault="00AE09AD" w:rsidP="00F1603D">
      <w:pPr>
        <w:pStyle w:val="a7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lang w:val="uk-UA"/>
        </w:rPr>
      </w:pPr>
      <w:r w:rsidRPr="0084222A">
        <w:rPr>
          <w:b/>
          <w:bCs/>
          <w:sz w:val="32"/>
          <w:szCs w:val="32"/>
          <w:lang w:val="uk-UA"/>
        </w:rPr>
        <w:t>природного середовища</w:t>
      </w:r>
      <w:r w:rsidR="0084222A">
        <w:rPr>
          <w:b/>
          <w:bCs/>
          <w:sz w:val="32"/>
          <w:szCs w:val="32"/>
          <w:lang w:val="uk-UA"/>
        </w:rPr>
        <w:t xml:space="preserve"> </w:t>
      </w:r>
    </w:p>
    <w:p w:rsidR="00AA249D" w:rsidRDefault="0084222A" w:rsidP="00F1603D">
      <w:pPr>
        <w:pStyle w:val="a7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Тетіївської територіальної громади</w:t>
      </w:r>
    </w:p>
    <w:p w:rsidR="0084222A" w:rsidRPr="0084222A" w:rsidRDefault="0084222A" w:rsidP="00F1603D">
      <w:pPr>
        <w:pStyle w:val="a7"/>
        <w:shd w:val="clear" w:color="auto" w:fill="FCFCFC"/>
        <w:spacing w:before="0" w:beforeAutospacing="0" w:after="0" w:afterAutospacing="0"/>
        <w:jc w:val="center"/>
        <w:textAlignment w:val="baseline"/>
        <w:rPr>
          <w:sz w:val="32"/>
          <w:szCs w:val="32"/>
          <w:lang w:val="uk-UA"/>
        </w:rPr>
      </w:pPr>
    </w:p>
    <w:p w:rsidR="009036F8" w:rsidRDefault="00AA249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A249D">
        <w:rPr>
          <w:b/>
          <w:sz w:val="28"/>
          <w:szCs w:val="28"/>
          <w:lang w:val="uk-UA"/>
        </w:rPr>
        <w:t xml:space="preserve">1. </w:t>
      </w:r>
      <w:r w:rsidR="00AE09AD" w:rsidRPr="00AA249D">
        <w:rPr>
          <w:b/>
          <w:bCs/>
          <w:sz w:val="28"/>
          <w:szCs w:val="28"/>
          <w:lang w:val="uk-UA"/>
        </w:rPr>
        <w:t>Загальні положення</w:t>
      </w:r>
    </w:p>
    <w:p w:rsidR="00F1603D" w:rsidRDefault="00F1603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AA249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E62EB">
        <w:rPr>
          <w:sz w:val="28"/>
          <w:szCs w:val="28"/>
          <w:lang w:val="uk-UA"/>
        </w:rPr>
        <w:t xml:space="preserve">1.1. Основною метою та завданням </w:t>
      </w:r>
      <w:r w:rsidR="000039A5">
        <w:rPr>
          <w:sz w:val="28"/>
          <w:szCs w:val="28"/>
          <w:lang w:val="uk-UA"/>
        </w:rPr>
        <w:t>Ф</w:t>
      </w:r>
      <w:r w:rsidRPr="009E62EB">
        <w:rPr>
          <w:sz w:val="28"/>
          <w:szCs w:val="28"/>
          <w:lang w:val="uk-UA"/>
        </w:rPr>
        <w:t xml:space="preserve">онду охорони навколишнього природного </w:t>
      </w:r>
      <w:r w:rsidR="00F8574F">
        <w:rPr>
          <w:sz w:val="28"/>
          <w:szCs w:val="28"/>
          <w:lang w:val="uk-UA"/>
        </w:rPr>
        <w:t xml:space="preserve">середовища </w:t>
      </w:r>
      <w:r w:rsidRPr="009E62EB">
        <w:rPr>
          <w:sz w:val="28"/>
          <w:szCs w:val="28"/>
          <w:lang w:val="uk-UA"/>
        </w:rPr>
        <w:t xml:space="preserve">(далі – Фонд) є акумулювання коштів відповідних джерел надходження та їх використання в інтересах охорони навколишнього природного середовища </w:t>
      </w:r>
      <w:r w:rsidR="00F46E03" w:rsidRPr="00AE09AD">
        <w:rPr>
          <w:sz w:val="28"/>
          <w:szCs w:val="28"/>
          <w:lang w:val="uk-UA"/>
        </w:rPr>
        <w:t>в межах територій населених пунктів,</w:t>
      </w:r>
      <w:r w:rsidR="00F46E03">
        <w:rPr>
          <w:sz w:val="28"/>
          <w:szCs w:val="28"/>
          <w:lang w:val="uk-UA"/>
        </w:rPr>
        <w:t xml:space="preserve"> </w:t>
      </w:r>
      <w:r w:rsidR="00F46E03" w:rsidRPr="00AE09AD">
        <w:rPr>
          <w:sz w:val="28"/>
          <w:szCs w:val="28"/>
          <w:lang w:val="uk-UA"/>
        </w:rPr>
        <w:t xml:space="preserve">що входять до складу </w:t>
      </w:r>
      <w:r w:rsidR="00F46E03">
        <w:rPr>
          <w:sz w:val="28"/>
          <w:szCs w:val="28"/>
          <w:lang w:val="uk-UA"/>
        </w:rPr>
        <w:t>Тетіївської</w:t>
      </w:r>
      <w:r w:rsidR="00F46E03" w:rsidRPr="00AE09AD">
        <w:rPr>
          <w:sz w:val="28"/>
          <w:szCs w:val="28"/>
          <w:lang w:val="uk-UA"/>
        </w:rPr>
        <w:t xml:space="preserve"> міської </w:t>
      </w:r>
      <w:r w:rsidR="00F46E03">
        <w:rPr>
          <w:sz w:val="28"/>
          <w:szCs w:val="28"/>
          <w:lang w:val="uk-UA"/>
        </w:rPr>
        <w:t>ради</w:t>
      </w:r>
      <w:r w:rsidR="00F46E03" w:rsidRPr="00AE09AD">
        <w:rPr>
          <w:sz w:val="28"/>
          <w:szCs w:val="28"/>
          <w:lang w:val="uk-UA"/>
        </w:rPr>
        <w:t>,</w:t>
      </w:r>
      <w:r w:rsidRPr="009E62EB">
        <w:rPr>
          <w:sz w:val="28"/>
          <w:szCs w:val="28"/>
          <w:lang w:val="uk-UA"/>
        </w:rPr>
        <w:t xml:space="preserve"> а також цільового фінансування природоохоронних заходів, спрямованих на зменшення впливу забруднення навколишнього природного середовища на здоров’я населення.</w:t>
      </w:r>
    </w:p>
    <w:p w:rsidR="00F1603D" w:rsidRDefault="00F1603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E09AD" w:rsidRDefault="00AA249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A249D">
        <w:rPr>
          <w:b/>
          <w:sz w:val="28"/>
          <w:szCs w:val="28"/>
          <w:lang w:val="uk-UA"/>
        </w:rPr>
        <w:t xml:space="preserve">2. </w:t>
      </w:r>
      <w:r w:rsidR="00AE09AD" w:rsidRPr="00AA249D">
        <w:rPr>
          <w:b/>
          <w:bCs/>
          <w:sz w:val="28"/>
          <w:szCs w:val="28"/>
          <w:lang w:val="uk-UA"/>
        </w:rPr>
        <w:t>Порядок формування коштів Фонду</w:t>
      </w:r>
    </w:p>
    <w:p w:rsidR="00F1603D" w:rsidRPr="00AA249D" w:rsidRDefault="00F1603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7C598B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2.1. </w:t>
      </w:r>
      <w:r w:rsidR="00F46E03" w:rsidRPr="00F46E03">
        <w:rPr>
          <w:sz w:val="28"/>
          <w:szCs w:val="28"/>
          <w:lang w:val="uk-UA"/>
        </w:rPr>
        <w:t>Фонд формується у складі місцевого бюджету, за рахунок надходжень:</w:t>
      </w:r>
      <w:r w:rsidR="00F46E03">
        <w:rPr>
          <w:sz w:val="28"/>
          <w:szCs w:val="28"/>
          <w:lang w:val="uk-UA"/>
        </w:rPr>
        <w:t xml:space="preserve"> </w:t>
      </w:r>
      <w:r w:rsidRPr="00AE09AD">
        <w:rPr>
          <w:sz w:val="28"/>
          <w:szCs w:val="28"/>
          <w:lang w:val="uk-UA"/>
        </w:rPr>
        <w:t xml:space="preserve">2.1.1. </w:t>
      </w:r>
      <w:r w:rsidR="00F46E03" w:rsidRPr="00F46E03">
        <w:rPr>
          <w:sz w:val="28"/>
          <w:szCs w:val="28"/>
          <w:lang w:val="uk-UA"/>
        </w:rPr>
        <w:t>частини екологічного податку згідно із законом;</w:t>
      </w:r>
    </w:p>
    <w:p w:rsidR="00AA249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2.1.2. </w:t>
      </w:r>
      <w:r w:rsidR="00F46E03" w:rsidRPr="00F46E03">
        <w:rPr>
          <w:sz w:val="28"/>
          <w:szCs w:val="28"/>
          <w:lang w:val="uk-UA"/>
        </w:rPr>
        <w:t>частини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діяльності, згідно з чинним законодавством;</w:t>
      </w:r>
    </w:p>
    <w:p w:rsidR="00AA249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2.1.3. </w:t>
      </w:r>
      <w:r w:rsidR="00F46E03" w:rsidRPr="00F46E03">
        <w:rPr>
          <w:sz w:val="28"/>
          <w:szCs w:val="28"/>
          <w:lang w:val="uk-UA"/>
        </w:rPr>
        <w:t>цільових та інших добровільних внесків підприємств, установ, організацій та громадян.</w:t>
      </w:r>
    </w:p>
    <w:p w:rsidR="00AA249D" w:rsidRDefault="009E62EB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AE09AD" w:rsidRPr="00AE09AD">
        <w:rPr>
          <w:sz w:val="28"/>
          <w:szCs w:val="28"/>
          <w:lang w:val="uk-UA"/>
        </w:rPr>
        <w:t>Кошти Фонду акумулюються на відповідних рахунках спеціального фонду міського бюджету.</w:t>
      </w:r>
    </w:p>
    <w:p w:rsidR="00AA249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2.3. Невикористані у звітному році кошти Фонду вилученню не підлягають і переходять для використання згідно із затвердженим кошторисом на наступний бюджетний рік.</w:t>
      </w:r>
    </w:p>
    <w:p w:rsidR="00F1603D" w:rsidRDefault="00F1603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E09AD" w:rsidRDefault="00AA249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A249D">
        <w:rPr>
          <w:b/>
          <w:sz w:val="28"/>
          <w:szCs w:val="28"/>
          <w:lang w:val="uk-UA"/>
        </w:rPr>
        <w:t xml:space="preserve">3. </w:t>
      </w:r>
      <w:r w:rsidR="00AE09AD" w:rsidRPr="00AA249D">
        <w:rPr>
          <w:b/>
          <w:bCs/>
          <w:sz w:val="28"/>
          <w:szCs w:val="28"/>
          <w:lang w:val="uk-UA"/>
        </w:rPr>
        <w:t>Порядок використання коштів Фонду</w:t>
      </w:r>
    </w:p>
    <w:p w:rsidR="00F1603D" w:rsidRPr="00AA249D" w:rsidRDefault="00F1603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0039A5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3.1. Кошти Фонду спрямовуються на фінансування природоохоронних заходів, що відповідають основним пріоритетним напрямам державної політики в галузі охорони довкілля, використання природних ресурсів і гарантування екологічної безпеки, визначених Постановою Кабінету Міністрів України від 17.09.1996 року № 1147 «Про затвердження переліків видів діяльності, що належать до природоохоронних заходів» та Програмою </w:t>
      </w:r>
    </w:p>
    <w:p w:rsidR="009036F8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охорони навколишнього природного середов</w:t>
      </w:r>
      <w:r w:rsidR="00F8574F">
        <w:rPr>
          <w:sz w:val="28"/>
          <w:szCs w:val="28"/>
          <w:lang w:val="uk-UA"/>
        </w:rPr>
        <w:t>ища, затвердженою міською радою.</w:t>
      </w:r>
    </w:p>
    <w:p w:rsidR="000039A5" w:rsidRDefault="000039A5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E09AD" w:rsidRPr="00AE09A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3.2. Виконавчі органи міської ради та підприємства, установи, організації, які зацікавлені у фінансуванні з Ф</w:t>
      </w:r>
      <w:r w:rsidR="00F8574F">
        <w:rPr>
          <w:sz w:val="28"/>
          <w:szCs w:val="28"/>
          <w:lang w:val="uk-UA"/>
        </w:rPr>
        <w:t xml:space="preserve">онду, щорічно, до 15 листопада </w:t>
      </w:r>
      <w:r w:rsidRPr="00AE09AD">
        <w:rPr>
          <w:sz w:val="28"/>
          <w:szCs w:val="28"/>
          <w:lang w:val="uk-UA"/>
        </w:rPr>
        <w:t xml:space="preserve">року, що передує плановому, подають на ім’я міського голови пропозиції щодо переліку природоохоронних заходів, які планується здійснити на території </w:t>
      </w:r>
      <w:r w:rsidR="001A2E27" w:rsidRPr="001A2E27">
        <w:rPr>
          <w:sz w:val="28"/>
          <w:szCs w:val="28"/>
          <w:lang w:val="uk-UA"/>
        </w:rPr>
        <w:t xml:space="preserve">населених пунктів, що входять до </w:t>
      </w:r>
      <w:r w:rsidR="000039A5">
        <w:rPr>
          <w:sz w:val="28"/>
          <w:szCs w:val="28"/>
          <w:lang w:val="uk-UA"/>
        </w:rPr>
        <w:t>складу Тетіївської територіальної громади</w:t>
      </w:r>
      <w:r w:rsidRPr="00AE09AD">
        <w:rPr>
          <w:sz w:val="28"/>
          <w:szCs w:val="28"/>
          <w:lang w:val="uk-UA"/>
        </w:rPr>
        <w:t>, та попередні розрахунки обсягів коштів, що планується залучити з міського бюджету.</w:t>
      </w:r>
    </w:p>
    <w:p w:rsidR="00495BA7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3.3. </w:t>
      </w:r>
      <w:r w:rsidR="000039A5">
        <w:rPr>
          <w:sz w:val="28"/>
          <w:szCs w:val="28"/>
          <w:lang w:val="uk-UA"/>
        </w:rPr>
        <w:t>У</w:t>
      </w:r>
      <w:r w:rsidRPr="00AE09AD">
        <w:rPr>
          <w:sz w:val="28"/>
          <w:szCs w:val="28"/>
          <w:lang w:val="uk-UA"/>
        </w:rPr>
        <w:t>правління</w:t>
      </w:r>
      <w:r w:rsidR="000039A5" w:rsidRPr="000039A5">
        <w:rPr>
          <w:sz w:val="28"/>
          <w:szCs w:val="28"/>
          <w:lang w:val="uk-UA"/>
        </w:rPr>
        <w:t xml:space="preserve"> </w:t>
      </w:r>
      <w:r w:rsidR="000039A5">
        <w:rPr>
          <w:sz w:val="28"/>
          <w:szCs w:val="28"/>
          <w:lang w:val="uk-UA"/>
        </w:rPr>
        <w:t>фінансів</w:t>
      </w:r>
      <w:r w:rsidRPr="00AE09AD">
        <w:rPr>
          <w:sz w:val="28"/>
          <w:szCs w:val="28"/>
          <w:lang w:val="uk-UA"/>
        </w:rPr>
        <w:t xml:space="preserve"> </w:t>
      </w:r>
      <w:r w:rsidR="000039A5">
        <w:rPr>
          <w:sz w:val="28"/>
          <w:szCs w:val="28"/>
          <w:lang w:val="uk-UA"/>
        </w:rPr>
        <w:t xml:space="preserve">Тетіївської </w:t>
      </w:r>
      <w:r w:rsidR="00F8574F">
        <w:rPr>
          <w:sz w:val="28"/>
          <w:szCs w:val="28"/>
          <w:lang w:val="uk-UA"/>
        </w:rPr>
        <w:t>міської ради:</w:t>
      </w:r>
      <w:r w:rsidR="00F8574F">
        <w:rPr>
          <w:sz w:val="28"/>
          <w:szCs w:val="28"/>
          <w:lang w:val="uk-UA"/>
        </w:rPr>
        <w:br/>
      </w:r>
      <w:r w:rsidRPr="00AE09AD">
        <w:rPr>
          <w:sz w:val="28"/>
          <w:szCs w:val="28"/>
          <w:lang w:val="uk-UA"/>
        </w:rPr>
        <w:t>3.3.1. Розглядає подані пропозиц</w:t>
      </w:r>
      <w:r w:rsidR="00F8574F">
        <w:rPr>
          <w:sz w:val="28"/>
          <w:szCs w:val="28"/>
          <w:lang w:val="uk-UA"/>
        </w:rPr>
        <w:t>ії з урахуванням відповідності:</w:t>
      </w:r>
      <w:r w:rsidR="00F8574F">
        <w:rPr>
          <w:sz w:val="28"/>
          <w:szCs w:val="28"/>
          <w:lang w:val="uk-UA"/>
        </w:rPr>
        <w:br/>
      </w:r>
      <w:r w:rsidRPr="00AE09AD">
        <w:rPr>
          <w:sz w:val="28"/>
          <w:szCs w:val="28"/>
          <w:lang w:val="uk-UA"/>
        </w:rPr>
        <w:t xml:space="preserve"> - вимогам Постанови Кабінету Міністрів України від 17.09.96 року № 1147 «Про затвердження переліків видів діяльності, що належать до природоохоронних заходів</w:t>
      </w:r>
      <w:r w:rsidR="00F8574F">
        <w:rPr>
          <w:sz w:val="28"/>
          <w:szCs w:val="28"/>
          <w:lang w:val="uk-UA"/>
        </w:rPr>
        <w:t>» (зі змінами і доповненнями);</w:t>
      </w:r>
    </w:p>
    <w:p w:rsidR="00495BA7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- заходам Програми охорони навколишн</w:t>
      </w:r>
      <w:r w:rsidR="00F8574F">
        <w:rPr>
          <w:sz w:val="28"/>
          <w:szCs w:val="28"/>
          <w:lang w:val="uk-UA"/>
        </w:rPr>
        <w:t>ього природного середовища;</w:t>
      </w:r>
    </w:p>
    <w:p w:rsidR="00495BA7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- </w:t>
      </w:r>
      <w:r w:rsidR="00F8574F">
        <w:rPr>
          <w:sz w:val="28"/>
          <w:szCs w:val="28"/>
          <w:lang w:val="uk-UA"/>
        </w:rPr>
        <w:t>обсягу надходжень до Фонду;</w:t>
      </w:r>
    </w:p>
    <w:p w:rsidR="00AE09AD" w:rsidRPr="00AE09AD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- забезпечення фінансування робіт, по яких виникла заборгованість за минулі періоди.</w:t>
      </w:r>
    </w:p>
    <w:p w:rsidR="00AE09AD" w:rsidRPr="00495BA7" w:rsidRDefault="00AE09AD" w:rsidP="00495BA7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3.3.2. На підставі аналізу звернень формує проект розподілу коштів Фонду між головними розпорядниками бюджетних коштів </w:t>
      </w:r>
      <w:r w:rsidR="00F8574F">
        <w:rPr>
          <w:sz w:val="28"/>
          <w:szCs w:val="28"/>
          <w:lang w:val="uk-UA"/>
        </w:rPr>
        <w:t xml:space="preserve">і подає його на погодження </w:t>
      </w:r>
      <w:r w:rsidRPr="00AE09AD">
        <w:rPr>
          <w:sz w:val="28"/>
          <w:szCs w:val="28"/>
          <w:lang w:val="uk-UA"/>
        </w:rPr>
        <w:t xml:space="preserve">міському голові, першому заступнику міського голови та постійній комісії </w:t>
      </w:r>
      <w:r w:rsidRPr="00BA1D0D">
        <w:rPr>
          <w:color w:val="000000" w:themeColor="text1"/>
          <w:sz w:val="28"/>
          <w:szCs w:val="28"/>
          <w:lang w:val="uk-UA"/>
        </w:rPr>
        <w:t xml:space="preserve">з </w:t>
      </w:r>
      <w:r w:rsidR="00BA1D0D" w:rsidRPr="00BA1D0D">
        <w:rPr>
          <w:color w:val="000000" w:themeColor="text1"/>
          <w:sz w:val="28"/>
          <w:szCs w:val="28"/>
          <w:lang w:val="uk-UA"/>
        </w:rPr>
        <w:t xml:space="preserve">питань планування, бюджету, фінансів та соціально- економічного розвитку </w:t>
      </w:r>
      <w:r w:rsidR="00EC0995">
        <w:rPr>
          <w:color w:val="000000" w:themeColor="text1"/>
          <w:sz w:val="28"/>
          <w:szCs w:val="28"/>
          <w:lang w:val="uk-UA"/>
        </w:rPr>
        <w:t>громади</w:t>
      </w:r>
      <w:r w:rsidR="00BA1D0D">
        <w:rPr>
          <w:color w:val="000000" w:themeColor="text1"/>
          <w:sz w:val="28"/>
          <w:szCs w:val="28"/>
          <w:lang w:val="uk-UA"/>
        </w:rPr>
        <w:t>.</w:t>
      </w:r>
    </w:p>
    <w:p w:rsidR="00495BA7" w:rsidRDefault="00495BA7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="00AE09AD" w:rsidRPr="00AE09AD">
        <w:rPr>
          <w:sz w:val="28"/>
          <w:szCs w:val="28"/>
          <w:lang w:val="uk-UA"/>
        </w:rPr>
        <w:t xml:space="preserve">Відповідно до узгодженого розподілу коштів Фонду </w:t>
      </w:r>
      <w:r w:rsidR="000039A5">
        <w:rPr>
          <w:sz w:val="28"/>
          <w:szCs w:val="28"/>
          <w:lang w:val="uk-UA"/>
        </w:rPr>
        <w:t>управління фінансів</w:t>
      </w:r>
      <w:r w:rsidR="00AE09AD" w:rsidRPr="00AE09AD">
        <w:rPr>
          <w:sz w:val="28"/>
          <w:szCs w:val="28"/>
          <w:lang w:val="uk-UA"/>
        </w:rPr>
        <w:t xml:space="preserve"> міської ради визначає граничні обсяги асигнувань на наступний бюджетний рік і повідомляє головних розпорядників бюджетних коштів.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3.5. Головні розпорядники бю</w:t>
      </w:r>
      <w:r w:rsidR="00BD1A71">
        <w:rPr>
          <w:sz w:val="28"/>
          <w:szCs w:val="28"/>
          <w:lang w:val="uk-UA"/>
        </w:rPr>
        <w:t>д</w:t>
      </w:r>
      <w:r w:rsidRPr="00AE09AD">
        <w:rPr>
          <w:sz w:val="28"/>
          <w:szCs w:val="28"/>
          <w:lang w:val="uk-UA"/>
        </w:rPr>
        <w:t xml:space="preserve">жетних коштів забезпечують складання бюджетних запитів </w:t>
      </w:r>
      <w:r w:rsidR="00495BA7">
        <w:rPr>
          <w:sz w:val="28"/>
          <w:szCs w:val="28"/>
          <w:lang w:val="uk-UA"/>
        </w:rPr>
        <w:t>по видатках Фонду та подають їх</w:t>
      </w:r>
      <w:r w:rsidRPr="00AE09AD">
        <w:rPr>
          <w:sz w:val="28"/>
          <w:szCs w:val="28"/>
          <w:lang w:val="uk-UA"/>
        </w:rPr>
        <w:t xml:space="preserve"> </w:t>
      </w:r>
      <w:r w:rsidR="000039A5" w:rsidRPr="00AE09AD">
        <w:rPr>
          <w:sz w:val="28"/>
          <w:szCs w:val="28"/>
          <w:lang w:val="uk-UA"/>
        </w:rPr>
        <w:t>управлінню</w:t>
      </w:r>
      <w:r w:rsidR="000039A5" w:rsidRPr="00AE09AD">
        <w:rPr>
          <w:sz w:val="28"/>
          <w:szCs w:val="28"/>
          <w:lang w:val="uk-UA"/>
        </w:rPr>
        <w:t xml:space="preserve"> </w:t>
      </w:r>
      <w:r w:rsidR="000039A5">
        <w:rPr>
          <w:sz w:val="28"/>
          <w:szCs w:val="28"/>
          <w:lang w:val="uk-UA"/>
        </w:rPr>
        <w:t>фінансів</w:t>
      </w:r>
      <w:r w:rsidRPr="00AE09AD">
        <w:rPr>
          <w:sz w:val="28"/>
          <w:szCs w:val="28"/>
          <w:lang w:val="uk-UA"/>
        </w:rPr>
        <w:t xml:space="preserve"> міської ради для включення видатків до проекту бюджету.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3.6. До 10 відсотків коштів Фонду може резервуватися для здійснення </w:t>
      </w:r>
      <w:r w:rsidR="00495BA7" w:rsidRPr="00AE09AD">
        <w:rPr>
          <w:sz w:val="28"/>
          <w:szCs w:val="28"/>
          <w:lang w:val="uk-UA"/>
        </w:rPr>
        <w:t>пов’язаних</w:t>
      </w:r>
      <w:r w:rsidRPr="00AE09AD">
        <w:rPr>
          <w:sz w:val="28"/>
          <w:szCs w:val="28"/>
          <w:lang w:val="uk-UA"/>
        </w:rPr>
        <w:t xml:space="preserve"> з природоохоронною діяльністю непередбачених видатків, що не мають постійного характеру і не могли бути передбачені при складанні проекту міського бюджету.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3.7. Обсяг асигнувань на фінансування природоохоронних заходів за рахунок коштів Фонду затверджується рішенням міської ради про бюджет </w:t>
      </w:r>
      <w:r w:rsidR="00495BA7">
        <w:rPr>
          <w:sz w:val="28"/>
          <w:szCs w:val="28"/>
          <w:lang w:val="uk-UA"/>
        </w:rPr>
        <w:t xml:space="preserve">Тетіївської міської ради </w:t>
      </w:r>
      <w:r w:rsidRPr="00AE09AD">
        <w:rPr>
          <w:sz w:val="28"/>
          <w:szCs w:val="28"/>
          <w:lang w:val="uk-UA"/>
        </w:rPr>
        <w:t>на відповідний період.</w:t>
      </w:r>
    </w:p>
    <w:p w:rsidR="00AE09AD" w:rsidRPr="00AE09AD" w:rsidRDefault="00495BA7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 </w:t>
      </w:r>
      <w:r w:rsidR="00AE09AD" w:rsidRPr="00AE09AD">
        <w:rPr>
          <w:sz w:val="28"/>
          <w:szCs w:val="28"/>
          <w:lang w:val="uk-UA"/>
        </w:rPr>
        <w:t xml:space="preserve"> Внесення змін до обсягів фінансування за рахунок коштів Фонду та розподіл їх між головними розпорядниками бюджетних коштів проводиться відповідно до вищевикладеного порядку.</w:t>
      </w:r>
    </w:p>
    <w:p w:rsid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>3.9. Забороняється використання коштів Фонду на заходи, які не внесені до Постанови Кабінету Міністрів України від 17 вересня 1996 року № 1147 «Про затвердження переліку видів діяльності, що належать до природоохоронних заходів».</w:t>
      </w:r>
    </w:p>
    <w:p w:rsidR="00F1603D" w:rsidRDefault="00F1603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1603D" w:rsidRDefault="00F1603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039A5" w:rsidRDefault="000039A5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1603D" w:rsidRPr="00AE09AD" w:rsidRDefault="00F1603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1603D" w:rsidRDefault="00F1603D" w:rsidP="00F1603D">
      <w:pPr>
        <w:pStyle w:val="a7"/>
        <w:shd w:val="clear" w:color="auto" w:fill="FCFCFC"/>
        <w:spacing w:before="0" w:beforeAutospacing="0" w:after="0" w:afterAutospacing="0"/>
        <w:ind w:left="75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E11307">
        <w:rPr>
          <w:b/>
          <w:bCs/>
          <w:sz w:val="28"/>
          <w:szCs w:val="28"/>
          <w:lang w:val="uk-UA"/>
        </w:rPr>
        <w:t xml:space="preserve">Облік, звітність, </w:t>
      </w:r>
      <w:r w:rsidR="00AE09AD" w:rsidRPr="009E62EB">
        <w:rPr>
          <w:b/>
          <w:bCs/>
          <w:sz w:val="28"/>
          <w:szCs w:val="28"/>
          <w:lang w:val="uk-UA"/>
        </w:rPr>
        <w:t xml:space="preserve"> контроль та відповідальність</w:t>
      </w:r>
      <w:r w:rsidR="009E62EB">
        <w:rPr>
          <w:b/>
          <w:bCs/>
          <w:sz w:val="28"/>
          <w:szCs w:val="28"/>
          <w:lang w:val="uk-UA"/>
        </w:rPr>
        <w:t> з</w:t>
      </w:r>
      <w:r w:rsidR="00AE09AD" w:rsidRPr="009E62EB">
        <w:rPr>
          <w:b/>
          <w:bCs/>
          <w:sz w:val="28"/>
          <w:szCs w:val="28"/>
          <w:lang w:val="uk-UA"/>
        </w:rPr>
        <w:t xml:space="preserve">а використанням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E09AD" w:rsidRDefault="00F1603D" w:rsidP="00F1603D">
      <w:pPr>
        <w:pStyle w:val="a7"/>
        <w:shd w:val="clear" w:color="auto" w:fill="FCFCFC"/>
        <w:spacing w:before="0" w:beforeAutospacing="0" w:after="0" w:afterAutospacing="0"/>
        <w:ind w:left="75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AE09AD" w:rsidRPr="009E62EB">
        <w:rPr>
          <w:b/>
          <w:bCs/>
          <w:sz w:val="28"/>
          <w:szCs w:val="28"/>
          <w:lang w:val="uk-UA"/>
        </w:rPr>
        <w:t>коштів Фонду</w:t>
      </w:r>
    </w:p>
    <w:p w:rsidR="00F1603D" w:rsidRPr="009E62EB" w:rsidRDefault="00F1603D" w:rsidP="00F1603D">
      <w:pPr>
        <w:pStyle w:val="a7"/>
        <w:shd w:val="clear" w:color="auto" w:fill="FCFCFC"/>
        <w:spacing w:before="0" w:beforeAutospacing="0" w:after="0" w:afterAutospacing="0"/>
        <w:ind w:left="75"/>
        <w:jc w:val="both"/>
        <w:textAlignment w:val="baseline"/>
        <w:rPr>
          <w:sz w:val="28"/>
          <w:szCs w:val="28"/>
          <w:lang w:val="uk-UA"/>
        </w:rPr>
      </w:pP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4.1. Головні розпорядники бюджетних коштів надають управлінню </w:t>
      </w:r>
      <w:r w:rsidR="000039A5">
        <w:rPr>
          <w:sz w:val="28"/>
          <w:szCs w:val="28"/>
          <w:lang w:val="uk-UA"/>
        </w:rPr>
        <w:t xml:space="preserve">фінансів </w:t>
      </w:r>
      <w:r w:rsidRPr="00AE09AD">
        <w:rPr>
          <w:sz w:val="28"/>
          <w:szCs w:val="28"/>
          <w:lang w:val="uk-UA"/>
        </w:rPr>
        <w:t>міської ради щоквартально інформацію про хід освоєння виділених коштів та річний звіт про використання коштів Фонду.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4.2. Звітність про використання коштів Фонду складається розпорядниками бюджетних коштів та подається </w:t>
      </w:r>
      <w:r w:rsidR="005E6295" w:rsidRPr="005E6295">
        <w:rPr>
          <w:sz w:val="28"/>
          <w:szCs w:val="28"/>
          <w:lang w:val="uk-UA"/>
        </w:rPr>
        <w:t xml:space="preserve">УДКСУ у Тетіївському районі </w:t>
      </w:r>
      <w:r w:rsidR="009F260F">
        <w:rPr>
          <w:sz w:val="28"/>
          <w:szCs w:val="28"/>
          <w:lang w:val="uk-UA"/>
        </w:rPr>
        <w:t>та</w:t>
      </w:r>
      <w:r w:rsidRPr="00AE09AD">
        <w:rPr>
          <w:sz w:val="28"/>
          <w:szCs w:val="28"/>
          <w:lang w:val="uk-UA"/>
        </w:rPr>
        <w:t xml:space="preserve"> управлінню </w:t>
      </w:r>
      <w:r w:rsidR="000039A5">
        <w:rPr>
          <w:sz w:val="28"/>
          <w:szCs w:val="28"/>
          <w:lang w:val="uk-UA"/>
        </w:rPr>
        <w:t xml:space="preserve">фінансів </w:t>
      </w:r>
      <w:r w:rsidR="00495BA7">
        <w:rPr>
          <w:sz w:val="28"/>
          <w:szCs w:val="28"/>
          <w:lang w:val="uk-UA"/>
        </w:rPr>
        <w:t>Тетіївської</w:t>
      </w:r>
      <w:r w:rsidRPr="00AE09AD">
        <w:rPr>
          <w:sz w:val="28"/>
          <w:szCs w:val="28"/>
          <w:lang w:val="uk-UA"/>
        </w:rPr>
        <w:t xml:space="preserve"> міської ради у встановлені строки.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4.3. </w:t>
      </w:r>
      <w:r w:rsidR="00E11307">
        <w:rPr>
          <w:sz w:val="28"/>
          <w:szCs w:val="28"/>
          <w:lang w:val="uk-UA"/>
        </w:rPr>
        <w:t>У</w:t>
      </w:r>
      <w:r w:rsidRPr="00AE09AD">
        <w:rPr>
          <w:sz w:val="28"/>
          <w:szCs w:val="28"/>
          <w:lang w:val="uk-UA"/>
        </w:rPr>
        <w:t xml:space="preserve">правління </w:t>
      </w:r>
      <w:r w:rsidR="00E11307">
        <w:rPr>
          <w:sz w:val="28"/>
          <w:szCs w:val="28"/>
          <w:lang w:val="uk-UA"/>
        </w:rPr>
        <w:t>ф</w:t>
      </w:r>
      <w:r w:rsidR="00E11307" w:rsidRPr="00AE09AD">
        <w:rPr>
          <w:sz w:val="28"/>
          <w:szCs w:val="28"/>
          <w:lang w:val="uk-UA"/>
        </w:rPr>
        <w:t>інансове</w:t>
      </w:r>
      <w:r w:rsidR="00E11307" w:rsidRPr="00AE09AD">
        <w:rPr>
          <w:sz w:val="28"/>
          <w:szCs w:val="28"/>
          <w:lang w:val="uk-UA"/>
        </w:rPr>
        <w:t xml:space="preserve"> </w:t>
      </w:r>
      <w:r w:rsidR="00495BA7">
        <w:rPr>
          <w:sz w:val="28"/>
          <w:szCs w:val="28"/>
          <w:lang w:val="uk-UA"/>
        </w:rPr>
        <w:t>Тетіївської</w:t>
      </w:r>
      <w:r w:rsidRPr="00AE09AD">
        <w:rPr>
          <w:sz w:val="28"/>
          <w:szCs w:val="28"/>
          <w:lang w:val="uk-UA"/>
        </w:rPr>
        <w:t xml:space="preserve"> міської ради на підставі звітів головних розпорядників бюджетних коштів складає проект річного звіту про надходження та використання коштів Фонду та подає на затвердження виконавчому комітету та </w:t>
      </w:r>
      <w:r w:rsidR="00495BA7">
        <w:rPr>
          <w:sz w:val="28"/>
          <w:szCs w:val="28"/>
          <w:lang w:val="uk-UA"/>
        </w:rPr>
        <w:t>Тетіївській</w:t>
      </w:r>
      <w:r w:rsidRPr="00AE09AD">
        <w:rPr>
          <w:sz w:val="28"/>
          <w:szCs w:val="28"/>
          <w:lang w:val="uk-UA"/>
        </w:rPr>
        <w:t xml:space="preserve"> міській раді.</w:t>
      </w:r>
    </w:p>
    <w:p w:rsidR="001F41C2" w:rsidRPr="001F41C2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E09AD">
        <w:rPr>
          <w:sz w:val="28"/>
          <w:szCs w:val="28"/>
          <w:lang w:val="uk-UA"/>
        </w:rPr>
        <w:t xml:space="preserve">4.4. Контроль за цільовим використанням коштів Фонду здійснюють </w:t>
      </w:r>
      <w:r w:rsidR="001F41C2">
        <w:rPr>
          <w:sz w:val="28"/>
          <w:szCs w:val="28"/>
          <w:lang w:val="uk-UA"/>
        </w:rPr>
        <w:t xml:space="preserve">постійні комісії міської ради </w:t>
      </w:r>
      <w:r w:rsidR="001F41C2" w:rsidRPr="001F41C2">
        <w:rPr>
          <w:color w:val="000000" w:themeColor="text1"/>
          <w:sz w:val="28"/>
          <w:szCs w:val="28"/>
          <w:lang w:val="uk-UA"/>
        </w:rPr>
        <w:t>з питань планування, бюджету, фінансів та соціально- економічного розвитку громади та з питань регулювання земельних відносин, архітектури, будівництва та охорони навколишнього середовища.</w:t>
      </w:r>
    </w:p>
    <w:p w:rsidR="00AE09AD" w:rsidRPr="00AE09AD" w:rsidRDefault="00AE09AD" w:rsidP="009F260F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F41C2">
        <w:rPr>
          <w:color w:val="000000" w:themeColor="text1"/>
          <w:sz w:val="28"/>
          <w:szCs w:val="28"/>
          <w:lang w:val="uk-UA"/>
        </w:rPr>
        <w:t xml:space="preserve">4.5. За нецільове витрачання коштів з Фонду посадові особи несуть </w:t>
      </w:r>
      <w:r w:rsidRPr="00AE09AD">
        <w:rPr>
          <w:sz w:val="28"/>
          <w:szCs w:val="28"/>
          <w:lang w:val="uk-UA"/>
        </w:rPr>
        <w:t>відповідальність згідно з</w:t>
      </w:r>
      <w:r w:rsidR="009F260F">
        <w:rPr>
          <w:sz w:val="28"/>
          <w:szCs w:val="28"/>
          <w:lang w:val="uk-UA"/>
        </w:rPr>
        <w:t xml:space="preserve"> чинним законодавством України.</w:t>
      </w:r>
    </w:p>
    <w:p w:rsidR="009F260F" w:rsidRDefault="009F260F" w:rsidP="00495BA7">
      <w:pPr>
        <w:pStyle w:val="a7"/>
        <w:shd w:val="clear" w:color="auto" w:fill="FCFCFC"/>
        <w:spacing w:before="0" w:beforeAutospacing="0" w:after="0"/>
        <w:jc w:val="both"/>
        <w:textAlignment w:val="baseline"/>
        <w:rPr>
          <w:sz w:val="28"/>
          <w:szCs w:val="28"/>
          <w:lang w:val="uk-UA"/>
        </w:rPr>
      </w:pPr>
    </w:p>
    <w:p w:rsidR="00E11307" w:rsidRDefault="00E11307" w:rsidP="00495BA7">
      <w:pPr>
        <w:pStyle w:val="a7"/>
        <w:shd w:val="clear" w:color="auto" w:fill="FCFCFC"/>
        <w:spacing w:before="0" w:beforeAutospacing="0" w:after="0"/>
        <w:jc w:val="both"/>
        <w:textAlignment w:val="baseline"/>
        <w:rPr>
          <w:sz w:val="28"/>
          <w:szCs w:val="28"/>
          <w:lang w:val="uk-UA"/>
        </w:rPr>
      </w:pPr>
    </w:p>
    <w:p w:rsidR="00AE09AD" w:rsidRDefault="00F1603D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Секретар ради                                           Н.ІВАНЮТА</w:t>
      </w: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E4635" w:rsidRDefault="004E4635" w:rsidP="00AE09AD">
      <w:pPr>
        <w:pStyle w:val="a7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sectPr w:rsidR="004E4635" w:rsidSect="000039A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039A5"/>
    <w:rsid w:val="00034C79"/>
    <w:rsid w:val="00040EFE"/>
    <w:rsid w:val="00045DCE"/>
    <w:rsid w:val="00051498"/>
    <w:rsid w:val="000A1C0B"/>
    <w:rsid w:val="000C53EE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1F41C2"/>
    <w:rsid w:val="002264A6"/>
    <w:rsid w:val="0026238A"/>
    <w:rsid w:val="002A0F5E"/>
    <w:rsid w:val="00321801"/>
    <w:rsid w:val="00340651"/>
    <w:rsid w:val="00342AE4"/>
    <w:rsid w:val="00354454"/>
    <w:rsid w:val="003672E7"/>
    <w:rsid w:val="003747BE"/>
    <w:rsid w:val="0039169C"/>
    <w:rsid w:val="003949EE"/>
    <w:rsid w:val="003B5715"/>
    <w:rsid w:val="0041475A"/>
    <w:rsid w:val="00415942"/>
    <w:rsid w:val="0043331D"/>
    <w:rsid w:val="00437B03"/>
    <w:rsid w:val="004462D1"/>
    <w:rsid w:val="0045201B"/>
    <w:rsid w:val="004931B4"/>
    <w:rsid w:val="00495BA7"/>
    <w:rsid w:val="004B03B0"/>
    <w:rsid w:val="004B5268"/>
    <w:rsid w:val="004C5415"/>
    <w:rsid w:val="004E4635"/>
    <w:rsid w:val="00504ED4"/>
    <w:rsid w:val="005170A8"/>
    <w:rsid w:val="005267CA"/>
    <w:rsid w:val="00567815"/>
    <w:rsid w:val="0057040D"/>
    <w:rsid w:val="005862FB"/>
    <w:rsid w:val="005E6295"/>
    <w:rsid w:val="00610510"/>
    <w:rsid w:val="006361F6"/>
    <w:rsid w:val="0064466C"/>
    <w:rsid w:val="006911EE"/>
    <w:rsid w:val="006C0E7D"/>
    <w:rsid w:val="006F4C55"/>
    <w:rsid w:val="00701C06"/>
    <w:rsid w:val="00751025"/>
    <w:rsid w:val="00763462"/>
    <w:rsid w:val="007B5007"/>
    <w:rsid w:val="007C4242"/>
    <w:rsid w:val="007C598B"/>
    <w:rsid w:val="007C6A47"/>
    <w:rsid w:val="007D0472"/>
    <w:rsid w:val="007D200B"/>
    <w:rsid w:val="008270E3"/>
    <w:rsid w:val="0084222A"/>
    <w:rsid w:val="00880830"/>
    <w:rsid w:val="00897E65"/>
    <w:rsid w:val="008C330B"/>
    <w:rsid w:val="008C5492"/>
    <w:rsid w:val="008E58DA"/>
    <w:rsid w:val="009036F8"/>
    <w:rsid w:val="0096464F"/>
    <w:rsid w:val="00980C28"/>
    <w:rsid w:val="00993ABE"/>
    <w:rsid w:val="009B7C26"/>
    <w:rsid w:val="009E62EB"/>
    <w:rsid w:val="009F260F"/>
    <w:rsid w:val="009F6750"/>
    <w:rsid w:val="00A109D7"/>
    <w:rsid w:val="00A704D5"/>
    <w:rsid w:val="00A77B71"/>
    <w:rsid w:val="00AA1896"/>
    <w:rsid w:val="00AA249D"/>
    <w:rsid w:val="00AA6FD1"/>
    <w:rsid w:val="00AE09AD"/>
    <w:rsid w:val="00AF6B18"/>
    <w:rsid w:val="00B06417"/>
    <w:rsid w:val="00B1662D"/>
    <w:rsid w:val="00B2055A"/>
    <w:rsid w:val="00B42C64"/>
    <w:rsid w:val="00B9392D"/>
    <w:rsid w:val="00B96761"/>
    <w:rsid w:val="00BA12C1"/>
    <w:rsid w:val="00BA170D"/>
    <w:rsid w:val="00BA1D0D"/>
    <w:rsid w:val="00BD1A71"/>
    <w:rsid w:val="00C05B77"/>
    <w:rsid w:val="00C33BAF"/>
    <w:rsid w:val="00C43478"/>
    <w:rsid w:val="00C4488A"/>
    <w:rsid w:val="00C5768E"/>
    <w:rsid w:val="00C60A70"/>
    <w:rsid w:val="00C77A78"/>
    <w:rsid w:val="00C829E0"/>
    <w:rsid w:val="00C87D1F"/>
    <w:rsid w:val="00CD2B61"/>
    <w:rsid w:val="00D027C3"/>
    <w:rsid w:val="00D14582"/>
    <w:rsid w:val="00D14CB5"/>
    <w:rsid w:val="00D65F40"/>
    <w:rsid w:val="00DB233F"/>
    <w:rsid w:val="00DE0CB4"/>
    <w:rsid w:val="00DF37CF"/>
    <w:rsid w:val="00E11307"/>
    <w:rsid w:val="00E33A09"/>
    <w:rsid w:val="00E7303D"/>
    <w:rsid w:val="00EA50D2"/>
    <w:rsid w:val="00EC0995"/>
    <w:rsid w:val="00EC4F9E"/>
    <w:rsid w:val="00ED49E1"/>
    <w:rsid w:val="00EF1037"/>
    <w:rsid w:val="00F1603D"/>
    <w:rsid w:val="00F263F5"/>
    <w:rsid w:val="00F46E03"/>
    <w:rsid w:val="00F8574F"/>
    <w:rsid w:val="00FA6320"/>
    <w:rsid w:val="00FB4CEE"/>
    <w:rsid w:val="00FC7ACA"/>
    <w:rsid w:val="00FD1E33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56</cp:revision>
  <cp:lastPrinted>2020-12-28T14:09:00Z</cp:lastPrinted>
  <dcterms:created xsi:type="dcterms:W3CDTF">2019-04-17T08:14:00Z</dcterms:created>
  <dcterms:modified xsi:type="dcterms:W3CDTF">2020-12-28T14:17:00Z</dcterms:modified>
</cp:coreProperties>
</file>