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6E" w:rsidRDefault="00523A4D" w:rsidP="00F0557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Звіт директора КПШХ «Мрія» ОМР щодо виконання статутних завдань підприємства та фінансово-господарської  діяльності</w:t>
      </w:r>
    </w:p>
    <w:p w:rsidR="000B2C13" w:rsidRDefault="000B2C13" w:rsidP="007C3A11">
      <w:pPr>
        <w:jc w:val="center"/>
        <w:rPr>
          <w:b/>
          <w:sz w:val="16"/>
          <w:szCs w:val="16"/>
          <w:lang w:val="uk-UA"/>
        </w:rPr>
      </w:pPr>
    </w:p>
    <w:p w:rsidR="00D304FE" w:rsidRDefault="00D304FE" w:rsidP="007C3A11">
      <w:pPr>
        <w:jc w:val="center"/>
        <w:rPr>
          <w:b/>
          <w:sz w:val="16"/>
          <w:szCs w:val="16"/>
          <w:lang w:val="uk-UA"/>
        </w:rPr>
      </w:pPr>
    </w:p>
    <w:p w:rsidR="00D304FE" w:rsidRPr="00D304FE" w:rsidRDefault="00D304FE" w:rsidP="007C3A11">
      <w:pPr>
        <w:jc w:val="center"/>
        <w:rPr>
          <w:b/>
          <w:sz w:val="16"/>
          <w:szCs w:val="16"/>
          <w:lang w:val="uk-UA"/>
        </w:rPr>
      </w:pPr>
    </w:p>
    <w:p w:rsidR="00EC2951" w:rsidRPr="006A586A" w:rsidRDefault="00EC39EB" w:rsidP="0091745F">
      <w:pPr>
        <w:jc w:val="center"/>
        <w:rPr>
          <w:b/>
          <w:lang w:val="uk-UA"/>
        </w:rPr>
      </w:pPr>
      <w:r w:rsidRPr="006A586A">
        <w:rPr>
          <w:b/>
          <w:lang w:val="uk-UA"/>
        </w:rPr>
        <w:t xml:space="preserve">І. </w:t>
      </w:r>
      <w:r w:rsidR="006C120C">
        <w:rPr>
          <w:b/>
          <w:lang w:val="uk-UA"/>
        </w:rPr>
        <w:t>ІНФОРМАЦІЯ ПРО ПІДПРИЄМСТВО</w:t>
      </w:r>
    </w:p>
    <w:p w:rsidR="00085509" w:rsidRDefault="00927F89" w:rsidP="00D97B7E">
      <w:pPr>
        <w:ind w:firstLine="708"/>
        <w:jc w:val="both"/>
        <w:rPr>
          <w:lang w:val="uk-UA"/>
        </w:rPr>
      </w:pPr>
      <w:r>
        <w:rPr>
          <w:lang w:val="uk-UA"/>
        </w:rPr>
        <w:t>Комунальне підприємс</w:t>
      </w:r>
      <w:r w:rsidR="0099677C">
        <w:rPr>
          <w:lang w:val="uk-UA"/>
        </w:rPr>
        <w:t>тво</w:t>
      </w:r>
      <w:r w:rsidR="00EC2951">
        <w:rPr>
          <w:lang w:val="uk-UA"/>
        </w:rPr>
        <w:t xml:space="preserve"> шкільного харчування</w:t>
      </w:r>
      <w:r w:rsidR="00DF6F61">
        <w:rPr>
          <w:lang w:val="uk-UA"/>
        </w:rPr>
        <w:t xml:space="preserve"> </w:t>
      </w:r>
      <w:r w:rsidR="00EC2951">
        <w:rPr>
          <w:lang w:val="uk-UA"/>
        </w:rPr>
        <w:t xml:space="preserve"> «Мрія» Охтирської міської ради </w:t>
      </w:r>
      <w:r w:rsidR="0099677C">
        <w:rPr>
          <w:lang w:val="uk-UA"/>
        </w:rPr>
        <w:t>здійснює свою діяльність з 1992 року згідно Статуту, нова редакція якого затверджена рішенням сесії</w:t>
      </w:r>
      <w:r w:rsidR="00D5278E">
        <w:rPr>
          <w:lang w:val="uk-UA"/>
        </w:rPr>
        <w:t xml:space="preserve">  міської ради № </w:t>
      </w:r>
      <w:r w:rsidR="00DC76D7">
        <w:rPr>
          <w:lang w:val="uk-UA"/>
        </w:rPr>
        <w:t>1533</w:t>
      </w:r>
      <w:r w:rsidR="00D5278E">
        <w:rPr>
          <w:lang w:val="uk-UA"/>
        </w:rPr>
        <w:t>-</w:t>
      </w:r>
      <w:r w:rsidR="00F062D7">
        <w:rPr>
          <w:lang w:val="uk-UA"/>
        </w:rPr>
        <w:t xml:space="preserve">МР від </w:t>
      </w:r>
      <w:r w:rsidR="00DC76D7">
        <w:rPr>
          <w:lang w:val="uk-UA"/>
        </w:rPr>
        <w:t>23</w:t>
      </w:r>
      <w:r w:rsidR="00F062D7">
        <w:rPr>
          <w:lang w:val="uk-UA"/>
        </w:rPr>
        <w:t xml:space="preserve"> </w:t>
      </w:r>
      <w:r w:rsidR="00B71E51">
        <w:rPr>
          <w:lang w:val="uk-UA"/>
        </w:rPr>
        <w:t>квітня</w:t>
      </w:r>
      <w:r w:rsidR="00F062D7">
        <w:rPr>
          <w:lang w:val="uk-UA"/>
        </w:rPr>
        <w:t xml:space="preserve"> 201</w:t>
      </w:r>
      <w:r w:rsidR="00DC76D7">
        <w:rPr>
          <w:lang w:val="uk-UA"/>
        </w:rPr>
        <w:t>9</w:t>
      </w:r>
      <w:r w:rsidR="00B71E51">
        <w:rPr>
          <w:lang w:val="uk-UA"/>
        </w:rPr>
        <w:t xml:space="preserve"> </w:t>
      </w:r>
      <w:r w:rsidR="00F062D7">
        <w:rPr>
          <w:lang w:val="uk-UA"/>
        </w:rPr>
        <w:t xml:space="preserve">року. </w:t>
      </w:r>
    </w:p>
    <w:p w:rsidR="007A412D" w:rsidRDefault="0091745F" w:rsidP="0091745F">
      <w:pPr>
        <w:jc w:val="both"/>
        <w:rPr>
          <w:lang w:val="uk-UA"/>
        </w:rPr>
      </w:pPr>
      <w:r>
        <w:rPr>
          <w:lang w:val="uk-UA"/>
        </w:rPr>
        <w:tab/>
      </w:r>
      <w:r w:rsidR="00F062D7">
        <w:rPr>
          <w:lang w:val="uk-UA"/>
        </w:rPr>
        <w:t>Ос</w:t>
      </w:r>
      <w:r w:rsidR="00B71E51">
        <w:rPr>
          <w:lang w:val="uk-UA"/>
        </w:rPr>
        <w:t>новним напрямком діяльності</w:t>
      </w:r>
      <w:r w:rsidR="000070BE">
        <w:rPr>
          <w:lang w:val="uk-UA"/>
        </w:rPr>
        <w:t xml:space="preserve"> </w:t>
      </w:r>
      <w:r w:rsidR="00B71E51">
        <w:rPr>
          <w:lang w:val="uk-UA"/>
        </w:rPr>
        <w:t>підприємства - є забезпечення</w:t>
      </w:r>
      <w:r w:rsidR="007A412D">
        <w:rPr>
          <w:lang w:val="uk-UA"/>
        </w:rPr>
        <w:t xml:space="preserve"> га</w:t>
      </w:r>
      <w:r w:rsidR="00B71E51">
        <w:rPr>
          <w:lang w:val="uk-UA"/>
        </w:rPr>
        <w:t>рячим</w:t>
      </w:r>
      <w:r w:rsidR="00F062D7">
        <w:rPr>
          <w:lang w:val="uk-UA"/>
        </w:rPr>
        <w:t xml:space="preserve"> харчування</w:t>
      </w:r>
      <w:r w:rsidR="00B71E51">
        <w:rPr>
          <w:lang w:val="uk-UA"/>
        </w:rPr>
        <w:t>м учнів загальноосвітніх навчальних закладів м</w:t>
      </w:r>
      <w:r w:rsidR="000B2C13">
        <w:rPr>
          <w:lang w:val="uk-UA"/>
        </w:rPr>
        <w:t xml:space="preserve">іста </w:t>
      </w:r>
      <w:r w:rsidR="00B71E51">
        <w:rPr>
          <w:lang w:val="uk-UA"/>
        </w:rPr>
        <w:t>Охтирки.</w:t>
      </w:r>
    </w:p>
    <w:p w:rsidR="00A74451" w:rsidRDefault="00DC76D7" w:rsidP="00AE53E6">
      <w:pPr>
        <w:ind w:firstLine="708"/>
        <w:jc w:val="both"/>
        <w:rPr>
          <w:lang w:val="uk-UA"/>
        </w:rPr>
      </w:pPr>
      <w:r>
        <w:rPr>
          <w:lang w:val="uk-UA"/>
        </w:rPr>
        <w:t>Керуючись п</w:t>
      </w:r>
      <w:r w:rsidR="00044C1B">
        <w:rPr>
          <w:lang w:val="uk-UA"/>
        </w:rPr>
        <w:t xml:space="preserve">остановою Кабінету Міністрів України № 1591 від 22 листопада  2004 року «Про затвердження норм харчування у навчальних та оздоровчих закладах», </w:t>
      </w:r>
      <w:r w:rsidRPr="00DC76D7">
        <w:rPr>
          <w:lang w:val="uk-UA"/>
        </w:rPr>
        <w:t>підприємство забезпечує харчування учнів згідно норм встановлених законодавством України та в рамках затвердженої вартості</w:t>
      </w:r>
      <w:r w:rsidRPr="000B2C13">
        <w:rPr>
          <w:lang w:val="uk-UA"/>
        </w:rPr>
        <w:t xml:space="preserve"> :</w:t>
      </w:r>
    </w:p>
    <w:p w:rsidR="00D53978" w:rsidRPr="00D53978" w:rsidRDefault="00044C1B" w:rsidP="00044C1B">
      <w:pPr>
        <w:ind w:firstLine="708"/>
        <w:jc w:val="both"/>
        <w:rPr>
          <w:lang w:val="uk-UA"/>
        </w:rPr>
      </w:pPr>
      <w:r w:rsidRPr="00D53978">
        <w:rPr>
          <w:lang w:val="uk-UA"/>
        </w:rPr>
        <w:t xml:space="preserve">- для учнів 1-4 класів </w:t>
      </w:r>
      <w:r w:rsidR="00D53978" w:rsidRPr="00D53978">
        <w:rPr>
          <w:lang w:val="uk-UA"/>
        </w:rPr>
        <w:t>–</w:t>
      </w:r>
      <w:r w:rsidRPr="00D53978">
        <w:rPr>
          <w:lang w:val="uk-UA"/>
        </w:rPr>
        <w:t xml:space="preserve"> </w:t>
      </w:r>
      <w:r w:rsidR="00D53978" w:rsidRPr="00D53978">
        <w:rPr>
          <w:lang w:val="uk-UA"/>
        </w:rPr>
        <w:t>23,00</w:t>
      </w:r>
      <w:r w:rsidRPr="00D53978">
        <w:rPr>
          <w:lang w:val="uk-UA"/>
        </w:rPr>
        <w:t xml:space="preserve"> грн.</w:t>
      </w:r>
      <w:r w:rsidR="00D53978" w:rsidRPr="00D53978">
        <w:rPr>
          <w:lang w:val="uk-UA"/>
        </w:rPr>
        <w:t>;</w:t>
      </w:r>
      <w:r w:rsidRPr="00D53978">
        <w:rPr>
          <w:lang w:val="uk-UA"/>
        </w:rPr>
        <w:t xml:space="preserve"> </w:t>
      </w:r>
    </w:p>
    <w:p w:rsidR="00044C1B" w:rsidRPr="00D53978" w:rsidRDefault="00D53978" w:rsidP="00044C1B">
      <w:pPr>
        <w:ind w:firstLine="708"/>
        <w:jc w:val="both"/>
        <w:rPr>
          <w:lang w:val="uk-UA"/>
        </w:rPr>
      </w:pPr>
      <w:r w:rsidRPr="00D53978">
        <w:rPr>
          <w:lang w:val="uk-UA"/>
        </w:rPr>
        <w:t>- для учнів 5-11 класів – 2</w:t>
      </w:r>
      <w:r w:rsidR="0046445C">
        <w:rPr>
          <w:lang w:val="uk-UA"/>
        </w:rPr>
        <w:t>5,3</w:t>
      </w:r>
      <w:r w:rsidRPr="00D53978">
        <w:rPr>
          <w:lang w:val="uk-UA"/>
        </w:rPr>
        <w:t>0</w:t>
      </w:r>
      <w:r w:rsidR="00044C1B" w:rsidRPr="00D53978">
        <w:rPr>
          <w:lang w:val="uk-UA"/>
        </w:rPr>
        <w:t xml:space="preserve"> грн.</w:t>
      </w:r>
      <w:r w:rsidRPr="00D53978">
        <w:rPr>
          <w:lang w:val="uk-UA"/>
        </w:rPr>
        <w:t>;</w:t>
      </w:r>
    </w:p>
    <w:p w:rsidR="00044C1B" w:rsidRPr="00D53978" w:rsidRDefault="00044C1B" w:rsidP="00044C1B">
      <w:pPr>
        <w:ind w:firstLine="708"/>
        <w:jc w:val="both"/>
        <w:rPr>
          <w:lang w:val="uk-UA"/>
        </w:rPr>
      </w:pPr>
      <w:r w:rsidRPr="00D53978">
        <w:rPr>
          <w:lang w:val="uk-UA"/>
        </w:rPr>
        <w:t xml:space="preserve">- для </w:t>
      </w:r>
      <w:r w:rsidR="00D53978" w:rsidRPr="00D53978">
        <w:rPr>
          <w:lang w:val="uk-UA"/>
        </w:rPr>
        <w:t>вихованців</w:t>
      </w:r>
      <w:r w:rsidRPr="00D53978">
        <w:rPr>
          <w:lang w:val="uk-UA"/>
        </w:rPr>
        <w:t xml:space="preserve"> групи продовженого дня </w:t>
      </w:r>
      <w:r w:rsidR="00D53978" w:rsidRPr="00D53978">
        <w:rPr>
          <w:lang w:val="uk-UA"/>
        </w:rPr>
        <w:t>-16</w:t>
      </w:r>
      <w:r w:rsidR="0046445C">
        <w:rPr>
          <w:lang w:val="uk-UA"/>
        </w:rPr>
        <w:t>,00</w:t>
      </w:r>
      <w:r w:rsidR="000B2C13">
        <w:rPr>
          <w:lang w:val="uk-UA"/>
        </w:rPr>
        <w:t xml:space="preserve"> </w:t>
      </w:r>
      <w:r w:rsidR="00D53978" w:rsidRPr="00D53978">
        <w:rPr>
          <w:lang w:val="uk-UA"/>
        </w:rPr>
        <w:t>грн.</w:t>
      </w:r>
      <w:r w:rsidRPr="00D53978">
        <w:rPr>
          <w:lang w:val="uk-UA"/>
        </w:rPr>
        <w:t>;</w:t>
      </w:r>
    </w:p>
    <w:p w:rsidR="00044C1B" w:rsidRPr="00D53978" w:rsidRDefault="00044C1B" w:rsidP="00D53978">
      <w:pPr>
        <w:ind w:firstLine="708"/>
        <w:jc w:val="both"/>
        <w:rPr>
          <w:lang w:val="uk-UA"/>
        </w:rPr>
      </w:pPr>
      <w:r w:rsidRPr="00D53978">
        <w:rPr>
          <w:lang w:val="uk-UA"/>
        </w:rPr>
        <w:t xml:space="preserve">- </w:t>
      </w:r>
      <w:r w:rsidR="00D53978" w:rsidRPr="00D53978">
        <w:rPr>
          <w:lang w:val="uk-UA"/>
        </w:rPr>
        <w:t>в оздоровчий період вартість обіду становила 38,50</w:t>
      </w:r>
      <w:r w:rsidRPr="00D53978">
        <w:rPr>
          <w:lang w:val="uk-UA"/>
        </w:rPr>
        <w:t xml:space="preserve"> грн. </w:t>
      </w:r>
    </w:p>
    <w:p w:rsidR="00EA43B3" w:rsidRDefault="00EA43B3" w:rsidP="000A327C">
      <w:pPr>
        <w:jc w:val="both"/>
        <w:rPr>
          <w:lang w:val="uk-UA"/>
        </w:rPr>
      </w:pPr>
      <w:r>
        <w:rPr>
          <w:lang w:val="uk-UA"/>
        </w:rPr>
        <w:tab/>
        <w:t>Окрім основного виду діяльності підприємство здійснює:</w:t>
      </w:r>
    </w:p>
    <w:p w:rsidR="00EA43B3" w:rsidRDefault="00EA43B3" w:rsidP="000A327C">
      <w:pPr>
        <w:jc w:val="both"/>
        <w:rPr>
          <w:lang w:val="uk-UA"/>
        </w:rPr>
      </w:pPr>
      <w:r>
        <w:rPr>
          <w:lang w:val="uk-UA"/>
        </w:rPr>
        <w:t>- часткове забезпечення продуктами харчування дошкільн</w:t>
      </w:r>
      <w:r w:rsidR="002F472C">
        <w:rPr>
          <w:lang w:val="uk-UA"/>
        </w:rPr>
        <w:t>их</w:t>
      </w:r>
      <w:r>
        <w:rPr>
          <w:lang w:val="uk-UA"/>
        </w:rPr>
        <w:t xml:space="preserve"> навчальн</w:t>
      </w:r>
      <w:r w:rsidR="002F472C">
        <w:rPr>
          <w:lang w:val="uk-UA"/>
        </w:rPr>
        <w:t>их</w:t>
      </w:r>
      <w:r>
        <w:rPr>
          <w:lang w:val="uk-UA"/>
        </w:rPr>
        <w:t xml:space="preserve"> заклад</w:t>
      </w:r>
      <w:r w:rsidR="002F472C">
        <w:rPr>
          <w:lang w:val="uk-UA"/>
        </w:rPr>
        <w:t>ів</w:t>
      </w:r>
      <w:r>
        <w:rPr>
          <w:lang w:val="uk-UA"/>
        </w:rPr>
        <w:t xml:space="preserve"> міста;</w:t>
      </w:r>
    </w:p>
    <w:p w:rsidR="00EA43B3" w:rsidRDefault="00EA43B3" w:rsidP="000A327C">
      <w:pPr>
        <w:jc w:val="both"/>
        <w:rPr>
          <w:lang w:val="uk-UA"/>
        </w:rPr>
      </w:pPr>
      <w:r>
        <w:rPr>
          <w:lang w:val="uk-UA"/>
        </w:rPr>
        <w:t xml:space="preserve">- реалізацію продукції власного виробництва </w:t>
      </w:r>
      <w:r w:rsidR="000B2C13">
        <w:rPr>
          <w:lang w:val="uk-UA"/>
        </w:rPr>
        <w:t>через лоток;</w:t>
      </w:r>
    </w:p>
    <w:p w:rsidR="00EA43B3" w:rsidRDefault="00EA43B3" w:rsidP="000A327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0B2C13">
        <w:rPr>
          <w:lang w:val="uk-UA"/>
        </w:rPr>
        <w:t>реалізацію покупних товарів через лоток</w:t>
      </w:r>
      <w:r w:rsidR="002F472C">
        <w:rPr>
          <w:lang w:val="uk-UA"/>
        </w:rPr>
        <w:t>.</w:t>
      </w:r>
    </w:p>
    <w:p w:rsidR="00D304FE" w:rsidRDefault="00D304FE" w:rsidP="00D304FE">
      <w:pPr>
        <w:jc w:val="center"/>
        <w:rPr>
          <w:b/>
          <w:lang w:val="uk-UA"/>
        </w:rPr>
      </w:pPr>
    </w:p>
    <w:p w:rsidR="00D304FE" w:rsidRDefault="00D304FE" w:rsidP="00D304FE">
      <w:pPr>
        <w:jc w:val="center"/>
        <w:rPr>
          <w:b/>
          <w:lang w:val="uk-UA"/>
        </w:rPr>
      </w:pPr>
    </w:p>
    <w:p w:rsidR="00EA43B3" w:rsidRDefault="00B23029" w:rsidP="00D304FE">
      <w:pPr>
        <w:jc w:val="center"/>
        <w:rPr>
          <w:b/>
          <w:lang w:val="uk-UA"/>
        </w:rPr>
      </w:pPr>
      <w:r w:rsidRPr="006A586A">
        <w:rPr>
          <w:b/>
          <w:lang w:val="uk-UA"/>
        </w:rPr>
        <w:t xml:space="preserve">ІІ. </w:t>
      </w:r>
      <w:r w:rsidR="006C120C">
        <w:rPr>
          <w:b/>
          <w:lang w:val="uk-UA"/>
        </w:rPr>
        <w:t>ТОВАРООБІГ ПІДПРИЄМСТВА</w:t>
      </w:r>
    </w:p>
    <w:p w:rsidR="00F05576" w:rsidRDefault="007D295F" w:rsidP="007D295F">
      <w:pPr>
        <w:jc w:val="both"/>
        <w:rPr>
          <w:lang w:val="uk-UA"/>
        </w:rPr>
      </w:pPr>
      <w:r w:rsidRPr="007D295F">
        <w:rPr>
          <w:lang w:val="uk-UA"/>
        </w:rPr>
        <w:tab/>
        <w:t xml:space="preserve">Плануючи свою діяльність </w:t>
      </w:r>
      <w:r>
        <w:rPr>
          <w:lang w:val="uk-UA"/>
        </w:rPr>
        <w:t>на 2019 рік комунальне підприємство шкільного харчування «Мрія» Охтирської міської ради мало на меті за 9 місяців отримати товарообіг у розмірі 8000,00 тис.</w:t>
      </w:r>
      <w:r w:rsidR="00F05576">
        <w:rPr>
          <w:lang w:val="uk-UA"/>
        </w:rPr>
        <w:t xml:space="preserve"> </w:t>
      </w:r>
      <w:r>
        <w:rPr>
          <w:lang w:val="uk-UA"/>
        </w:rPr>
        <w:t>грн., проте фактично його розмір склав 8450,32 тис.</w:t>
      </w:r>
      <w:r w:rsidR="00F05576">
        <w:rPr>
          <w:lang w:val="uk-UA"/>
        </w:rPr>
        <w:t xml:space="preserve"> </w:t>
      </w:r>
      <w:r>
        <w:rPr>
          <w:lang w:val="uk-UA"/>
        </w:rPr>
        <w:t>грн., що на 450,32 тис.</w:t>
      </w:r>
      <w:r w:rsidR="00F05576">
        <w:rPr>
          <w:lang w:val="uk-UA"/>
        </w:rPr>
        <w:t xml:space="preserve"> </w:t>
      </w:r>
      <w:r>
        <w:rPr>
          <w:lang w:val="uk-UA"/>
        </w:rPr>
        <w:t>грн. (5,63%) більше запланованого.</w:t>
      </w:r>
    </w:p>
    <w:p w:rsidR="006A586A" w:rsidRDefault="00F05576" w:rsidP="006A586A">
      <w:pPr>
        <w:jc w:val="both"/>
        <w:rPr>
          <w:lang w:val="uk-UA"/>
        </w:rPr>
      </w:pPr>
      <w:r>
        <w:rPr>
          <w:lang w:val="uk-UA"/>
        </w:rPr>
        <w:tab/>
        <w:t xml:space="preserve">Порівнюючи даний показник господарської діяльності підприємства з аналогічним періодом 2018 року відзначається </w:t>
      </w:r>
      <w:r w:rsidR="00156723">
        <w:rPr>
          <w:lang w:val="uk-UA"/>
        </w:rPr>
        <w:t xml:space="preserve">його </w:t>
      </w:r>
      <w:r>
        <w:rPr>
          <w:lang w:val="uk-UA"/>
        </w:rPr>
        <w:t>ріст на 1011,72 тис. грн. (13,60%).</w:t>
      </w:r>
      <w:r w:rsidR="007D295F">
        <w:rPr>
          <w:lang w:val="uk-UA"/>
        </w:rPr>
        <w:t xml:space="preserve"> </w:t>
      </w:r>
    </w:p>
    <w:p w:rsidR="00D304FE" w:rsidRDefault="00115FDA" w:rsidP="00115FDA">
      <w:pPr>
        <w:jc w:val="both"/>
        <w:rPr>
          <w:lang w:val="uk-UA"/>
        </w:rPr>
      </w:pPr>
      <w:r>
        <w:rPr>
          <w:lang w:val="uk-UA"/>
        </w:rPr>
        <w:tab/>
        <w:t>Виручка від реалізації продукції власного виробництва зросла на 1297,58 тис.</w:t>
      </w:r>
      <w:r w:rsidR="00156723">
        <w:rPr>
          <w:lang w:val="uk-UA"/>
        </w:rPr>
        <w:t xml:space="preserve"> </w:t>
      </w:r>
      <w:r>
        <w:rPr>
          <w:lang w:val="uk-UA"/>
        </w:rPr>
        <w:t>грн. (</w:t>
      </w:r>
      <w:r w:rsidR="006A6600">
        <w:rPr>
          <w:lang w:val="uk-UA"/>
        </w:rPr>
        <w:t xml:space="preserve">20,15%) в порівнянні з </w:t>
      </w:r>
      <w:r w:rsidR="00156723">
        <w:rPr>
          <w:lang w:val="uk-UA"/>
        </w:rPr>
        <w:t>9 місяцями попереднього року</w:t>
      </w:r>
      <w:r w:rsidR="006A6600">
        <w:rPr>
          <w:lang w:val="uk-UA"/>
        </w:rPr>
        <w:t xml:space="preserve">. </w:t>
      </w:r>
      <w:r w:rsidR="00156723">
        <w:rPr>
          <w:lang w:val="uk-UA"/>
        </w:rPr>
        <w:t xml:space="preserve">Це є наслідком розширення асортименту продукції власного виробництва. </w:t>
      </w:r>
    </w:p>
    <w:p w:rsidR="00F05576" w:rsidRDefault="00156723" w:rsidP="00D304FE">
      <w:pPr>
        <w:ind w:firstLine="708"/>
        <w:jc w:val="both"/>
        <w:rPr>
          <w:lang w:val="uk-UA"/>
        </w:rPr>
      </w:pPr>
      <w:r>
        <w:rPr>
          <w:lang w:val="uk-UA"/>
        </w:rPr>
        <w:t>Так</w:t>
      </w:r>
      <w:r w:rsidR="00D304FE">
        <w:rPr>
          <w:lang w:val="uk-UA"/>
        </w:rPr>
        <w:t>,</w:t>
      </w:r>
      <w:r>
        <w:rPr>
          <w:lang w:val="uk-UA"/>
        </w:rPr>
        <w:t xml:space="preserve"> у 2019 році </w:t>
      </w:r>
      <w:r w:rsidR="00894F8F">
        <w:rPr>
          <w:lang w:val="uk-UA"/>
        </w:rPr>
        <w:t>розпочали</w:t>
      </w:r>
      <w:r>
        <w:rPr>
          <w:lang w:val="uk-UA"/>
        </w:rPr>
        <w:t xml:space="preserve"> часткове впровадження страв для харчування учнів за ре</w:t>
      </w:r>
      <w:r w:rsidR="008324D8">
        <w:rPr>
          <w:lang w:val="uk-UA"/>
        </w:rPr>
        <w:t xml:space="preserve">цептурним довідником Євгена </w:t>
      </w:r>
      <w:proofErr w:type="spellStart"/>
      <w:r w:rsidR="008324D8">
        <w:rPr>
          <w:lang w:val="uk-UA"/>
        </w:rPr>
        <w:t>Клопотенка</w:t>
      </w:r>
      <w:proofErr w:type="spellEnd"/>
      <w:r w:rsidR="00D304FE">
        <w:rPr>
          <w:lang w:val="uk-UA"/>
        </w:rPr>
        <w:t xml:space="preserve">, впровадили виготовлення виробів із листкового тіста, збільшили реалізацію </w:t>
      </w:r>
      <w:r w:rsidR="00D304FE">
        <w:rPr>
          <w:lang w:val="uk-UA"/>
        </w:rPr>
        <w:lastRenderedPageBreak/>
        <w:t>святкових хлібобулочних виробів: паска до Великодня, пташка Жайворон до свята Сорок Святих, весільний коровай, пряник «Ковельський святковий» оздоблений відповідно до заходу.</w:t>
      </w:r>
    </w:p>
    <w:p w:rsidR="006A6600" w:rsidRDefault="006A6600" w:rsidP="00D304F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Виручка від реалізації покупних товарів, навпаки, зменшилася на 267,86 </w:t>
      </w:r>
      <w:proofErr w:type="spellStart"/>
      <w:r>
        <w:rPr>
          <w:lang w:val="uk-UA"/>
        </w:rPr>
        <w:t>т</w:t>
      </w:r>
      <w:r w:rsidR="00693277">
        <w:rPr>
          <w:lang w:val="uk-UA"/>
        </w:rPr>
        <w:t>ис.грн</w:t>
      </w:r>
      <w:proofErr w:type="spellEnd"/>
      <w:r w:rsidR="00693277">
        <w:rPr>
          <w:lang w:val="uk-UA"/>
        </w:rPr>
        <w:t>. (24,64%)</w:t>
      </w:r>
      <w:r w:rsidR="00D304FE">
        <w:rPr>
          <w:lang w:val="uk-UA"/>
        </w:rPr>
        <w:t xml:space="preserve"> порівняно з аналогічним періодом 2018 року</w:t>
      </w:r>
      <w:r w:rsidR="00894F8F">
        <w:rPr>
          <w:lang w:val="uk-UA"/>
        </w:rPr>
        <w:t>. П</w:t>
      </w:r>
      <w:r w:rsidR="00693277">
        <w:rPr>
          <w:lang w:val="uk-UA"/>
        </w:rPr>
        <w:t>ричиною цього</w:t>
      </w:r>
      <w:r>
        <w:rPr>
          <w:lang w:val="uk-UA"/>
        </w:rPr>
        <w:t xml:space="preserve"> є масове укладання дошкільними навчальними закладами </w:t>
      </w:r>
      <w:r w:rsidR="00AD6AF7">
        <w:rPr>
          <w:lang w:val="uk-UA"/>
        </w:rPr>
        <w:t>договорів на поставку продуктів харчування, що не потребують спеціальних умов зберігання та транспортування, з дрібними підприємцями, які працюють на спрощеній системі оподаткування.</w:t>
      </w:r>
    </w:p>
    <w:p w:rsidR="009B3A85" w:rsidRDefault="00AD6AF7" w:rsidP="000B2C13">
      <w:pPr>
        <w:jc w:val="both"/>
        <w:rPr>
          <w:lang w:val="uk-UA"/>
        </w:rPr>
      </w:pPr>
      <w:r>
        <w:rPr>
          <w:lang w:val="uk-UA"/>
        </w:rPr>
        <w:tab/>
        <w:t xml:space="preserve">В таблиці 1 </w:t>
      </w:r>
      <w:r w:rsidR="000B2C13">
        <w:rPr>
          <w:lang w:val="uk-UA"/>
        </w:rPr>
        <w:t xml:space="preserve">більш </w:t>
      </w:r>
      <w:r>
        <w:rPr>
          <w:lang w:val="uk-UA"/>
        </w:rPr>
        <w:t>детально наведена структура товарообігу підприємства.</w:t>
      </w:r>
    </w:p>
    <w:p w:rsidR="00D304FE" w:rsidRDefault="00D304FE" w:rsidP="000B2C13">
      <w:pPr>
        <w:jc w:val="both"/>
        <w:rPr>
          <w:lang w:val="uk-UA"/>
        </w:rPr>
      </w:pPr>
    </w:p>
    <w:p w:rsidR="00D304FE" w:rsidRDefault="00D304FE" w:rsidP="000B2C13">
      <w:pPr>
        <w:jc w:val="both"/>
        <w:rPr>
          <w:lang w:val="uk-UA"/>
        </w:rPr>
      </w:pPr>
    </w:p>
    <w:p w:rsidR="009B3A85" w:rsidRPr="000B2C13" w:rsidRDefault="00AD6AF7" w:rsidP="00AD6AF7">
      <w:pPr>
        <w:jc w:val="right"/>
        <w:rPr>
          <w:lang w:val="uk-UA"/>
        </w:rPr>
      </w:pPr>
      <w:r w:rsidRPr="000B2C13">
        <w:rPr>
          <w:lang w:val="uk-UA"/>
        </w:rPr>
        <w:t>Таблиця 1.</w:t>
      </w:r>
    </w:p>
    <w:p w:rsidR="00AD6AF7" w:rsidRPr="000B2C13" w:rsidRDefault="00AD6AF7" w:rsidP="00AD6AF7">
      <w:pPr>
        <w:jc w:val="center"/>
        <w:rPr>
          <w:b/>
          <w:lang w:val="uk-UA"/>
        </w:rPr>
      </w:pPr>
      <w:r w:rsidRPr="000B2C13">
        <w:rPr>
          <w:b/>
          <w:lang w:val="uk-UA"/>
        </w:rPr>
        <w:t>Структура товарообігу за 9 міс</w:t>
      </w:r>
      <w:r w:rsidR="004C6706">
        <w:rPr>
          <w:b/>
          <w:lang w:val="uk-UA"/>
        </w:rPr>
        <w:t>яців 2019 року</w:t>
      </w:r>
      <w:r w:rsidRPr="000B2C13">
        <w:rPr>
          <w:b/>
          <w:lang w:val="uk-UA"/>
        </w:rPr>
        <w:t xml:space="preserve"> </w:t>
      </w:r>
    </w:p>
    <w:p w:rsidR="00AD6AF7" w:rsidRDefault="00AD6AF7" w:rsidP="00AD6AF7">
      <w:pPr>
        <w:jc w:val="center"/>
        <w:rPr>
          <w:lang w:val="uk-UA"/>
        </w:rPr>
      </w:pPr>
      <w:r w:rsidRPr="000B2C13">
        <w:rPr>
          <w:b/>
          <w:lang w:val="uk-UA"/>
        </w:rPr>
        <w:t>в порівнянні з аналогічним періодом 2018 р</w:t>
      </w:r>
      <w:r w:rsidR="004C6706">
        <w:rPr>
          <w:b/>
          <w:lang w:val="uk-UA"/>
        </w:rPr>
        <w:t>оку</w:t>
      </w:r>
    </w:p>
    <w:p w:rsidR="00D304FE" w:rsidRPr="00AD6AF7" w:rsidRDefault="00D304FE" w:rsidP="00AD6AF7">
      <w:pPr>
        <w:jc w:val="center"/>
        <w:rPr>
          <w:lang w:val="uk-U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1134"/>
        <w:gridCol w:w="1134"/>
        <w:gridCol w:w="1134"/>
        <w:gridCol w:w="993"/>
      </w:tblGrid>
      <w:tr w:rsidR="00BF0430" w:rsidRPr="004C6706" w:rsidTr="001B14C2">
        <w:trPr>
          <w:trHeight w:val="3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7C72BB" w:rsidP="007C72BB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Товарооб</w:t>
            </w:r>
            <w:r w:rsidR="00115FDA" w:rsidRPr="004C6706">
              <w:rPr>
                <w:color w:val="000000"/>
                <w:lang w:val="uk-UA"/>
              </w:rPr>
              <w:t>іг</w:t>
            </w:r>
            <w:r w:rsidRPr="004C6706">
              <w:rPr>
                <w:color w:val="000000"/>
                <w:lang w:val="uk-UA"/>
              </w:rPr>
              <w:t xml:space="preserve"> за видами реалізації продукції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9 місяців 2019 р.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9 місяців 2018 р.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Відхилення</w:t>
            </w:r>
          </w:p>
        </w:tc>
      </w:tr>
      <w:tr w:rsidR="00BF0430" w:rsidRPr="004C6706" w:rsidTr="001B14C2">
        <w:trPr>
          <w:trHeight w:val="765"/>
        </w:trPr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0430" w:rsidRPr="004C6706" w:rsidRDefault="00BF0430" w:rsidP="00BD19F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Сума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Питома вага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Сума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Питома вага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+/-</w:t>
            </w:r>
          </w:p>
        </w:tc>
      </w:tr>
      <w:tr w:rsidR="00BF0430" w:rsidRPr="004C6706" w:rsidTr="001B14C2">
        <w:trPr>
          <w:trHeight w:val="354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BD19F0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4C6706">
            <w:pPr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4C6706">
              <w:rPr>
                <w:color w:val="000000"/>
                <w:lang w:val="uk-UA"/>
              </w:rPr>
              <w:t>тис.грн</w:t>
            </w:r>
            <w:proofErr w:type="spellEnd"/>
            <w:r w:rsidRPr="004C6706"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4C6706">
            <w:pPr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4C6706">
              <w:rPr>
                <w:color w:val="000000"/>
                <w:lang w:val="uk-UA"/>
              </w:rPr>
              <w:t>тис.грн</w:t>
            </w:r>
            <w:proofErr w:type="spellEnd"/>
            <w:r w:rsidRPr="004C6706"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4C6706">
            <w:pPr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4C6706">
              <w:rPr>
                <w:color w:val="000000"/>
                <w:lang w:val="uk-UA"/>
              </w:rPr>
              <w:t>тис.грн</w:t>
            </w:r>
            <w:proofErr w:type="spellEnd"/>
            <w:r w:rsidRPr="004C6706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430" w:rsidRPr="004C6706" w:rsidRDefault="00BF0430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%</w:t>
            </w:r>
          </w:p>
        </w:tc>
      </w:tr>
      <w:tr w:rsidR="009B3A85" w:rsidRPr="004C6706" w:rsidTr="001B14C2">
        <w:trPr>
          <w:trHeight w:val="82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9B3A85" w:rsidP="004C6706">
            <w:pPr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1.Виручка від реалізації продукції власного виробництва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9B3A85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7630,88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9B3A85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9B3A85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6351,30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9B3A85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9B3A85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1297,58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A85" w:rsidRPr="004C6706" w:rsidRDefault="009B3A85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20,15</w:t>
            </w:r>
          </w:p>
        </w:tc>
      </w:tr>
      <w:tr w:rsidR="00BF0430" w:rsidRPr="004C6706" w:rsidTr="001B14C2">
        <w:trPr>
          <w:trHeight w:val="82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4C6706">
            <w:pPr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1</w:t>
            </w:r>
            <w:r w:rsidR="00BD19F0" w:rsidRPr="004C6706">
              <w:rPr>
                <w:color w:val="000000"/>
                <w:lang w:val="uk-UA"/>
              </w:rPr>
              <w:t>.2.</w:t>
            </w:r>
            <w:r w:rsidR="005C6F15" w:rsidRPr="004C6706">
              <w:rPr>
                <w:color w:val="000000"/>
                <w:lang w:val="uk-UA"/>
              </w:rPr>
              <w:t>П</w:t>
            </w:r>
            <w:r w:rsidR="006C120C" w:rsidRPr="004C6706">
              <w:rPr>
                <w:color w:val="000000"/>
                <w:lang w:val="uk-UA"/>
              </w:rPr>
              <w:t>ослуги з організації харчування учнів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5927,88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4929,10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66,26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998,78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20,26</w:t>
            </w:r>
          </w:p>
        </w:tc>
      </w:tr>
      <w:tr w:rsidR="00BF0430" w:rsidRPr="004C6706" w:rsidTr="001B14C2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1.</w:t>
            </w:r>
            <w:r w:rsidR="00BF0430" w:rsidRPr="004C6706">
              <w:rPr>
                <w:color w:val="000000"/>
                <w:lang w:val="uk-UA"/>
              </w:rPr>
              <w:t>2.</w:t>
            </w:r>
            <w:r w:rsidRPr="004C6706">
              <w:rPr>
                <w:color w:val="000000"/>
                <w:lang w:val="uk-UA"/>
              </w:rPr>
              <w:t>Реалізація продукції власного виробництва через 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1703,00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1422,20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280,80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430" w:rsidRPr="004C6706" w:rsidRDefault="00BD19F0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19,74</w:t>
            </w:r>
          </w:p>
        </w:tc>
      </w:tr>
      <w:tr w:rsidR="009B3A85" w:rsidRPr="004C6706" w:rsidTr="001B14C2">
        <w:trPr>
          <w:trHeight w:val="97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BD19F0" w:rsidP="00BD19F0">
            <w:pPr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2. Виручка від реалізації покупних товарів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BD19F0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819,44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BD19F0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BD19F0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1087,30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BD19F0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BD19F0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-267,86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A85" w:rsidRPr="004C6706" w:rsidRDefault="00BD19F0" w:rsidP="00BD19F0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4C6706">
              <w:rPr>
                <w:b/>
                <w:i/>
                <w:color w:val="000000"/>
                <w:lang w:val="uk-UA"/>
              </w:rPr>
              <w:t>-24,64</w:t>
            </w:r>
          </w:p>
        </w:tc>
      </w:tr>
      <w:tr w:rsidR="00BF0430" w:rsidRPr="004C6706" w:rsidTr="001B14C2">
        <w:trPr>
          <w:trHeight w:val="97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D19F0" w:rsidP="001C0AE1">
            <w:pPr>
              <w:rPr>
                <w:color w:val="000000"/>
              </w:rPr>
            </w:pPr>
            <w:r w:rsidRPr="004C6706">
              <w:rPr>
                <w:color w:val="000000"/>
                <w:lang w:val="uk-UA"/>
              </w:rPr>
              <w:t>2.1.</w:t>
            </w:r>
            <w:r w:rsidR="00BF0430" w:rsidRPr="004C6706">
              <w:rPr>
                <w:color w:val="000000"/>
                <w:lang w:val="uk-UA"/>
              </w:rPr>
              <w:t xml:space="preserve">Постачання </w:t>
            </w:r>
            <w:r w:rsidR="001C0AE1" w:rsidRPr="004C6706">
              <w:rPr>
                <w:color w:val="000000"/>
                <w:lang w:val="uk-UA"/>
              </w:rPr>
              <w:t>товарів у</w:t>
            </w:r>
            <w:r w:rsidR="00BF0430" w:rsidRPr="004C6706">
              <w:rPr>
                <w:color w:val="000000"/>
                <w:lang w:val="uk-UA"/>
              </w:rPr>
              <w:t xml:space="preserve"> дошкільні навчальні заклади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365,63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1C0AE1">
            <w:pPr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749,20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-383,57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430" w:rsidRPr="004C6706" w:rsidRDefault="001C0AE1" w:rsidP="00BD19F0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-51,20</w:t>
            </w:r>
          </w:p>
        </w:tc>
      </w:tr>
      <w:tr w:rsidR="009B3A85" w:rsidRPr="004C6706" w:rsidTr="001B14C2">
        <w:trPr>
          <w:trHeight w:val="97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1C0AE1" w:rsidP="00BD19F0">
            <w:pPr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2.2.Реалізація покупних товарів через 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1C0AE1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453,81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1C0AE1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1C0AE1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338,10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1C0AE1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85" w:rsidRPr="004C6706" w:rsidRDefault="001C0AE1" w:rsidP="00115FDA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115,71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A85" w:rsidRPr="004C6706" w:rsidRDefault="001C0AE1" w:rsidP="001C0AE1">
            <w:pPr>
              <w:jc w:val="center"/>
              <w:rPr>
                <w:color w:val="000000"/>
                <w:lang w:val="uk-UA"/>
              </w:rPr>
            </w:pPr>
            <w:r w:rsidRPr="004C6706">
              <w:rPr>
                <w:color w:val="000000"/>
                <w:lang w:val="uk-UA"/>
              </w:rPr>
              <w:t>34,22</w:t>
            </w:r>
          </w:p>
        </w:tc>
      </w:tr>
      <w:tr w:rsidR="00BF0430" w:rsidRPr="004C6706" w:rsidTr="001B14C2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7C72BB" w:rsidP="007C72BB">
            <w:pPr>
              <w:jc w:val="right"/>
              <w:rPr>
                <w:b/>
                <w:color w:val="000000"/>
              </w:rPr>
            </w:pPr>
            <w:r w:rsidRPr="004C6706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115FDA">
            <w:pPr>
              <w:jc w:val="center"/>
              <w:rPr>
                <w:b/>
                <w:color w:val="000000"/>
                <w:lang w:val="uk-UA"/>
              </w:rPr>
            </w:pPr>
            <w:r w:rsidRPr="004C6706">
              <w:rPr>
                <w:b/>
                <w:color w:val="000000"/>
                <w:lang w:val="uk-UA"/>
              </w:rPr>
              <w:t>8450,32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115FDA">
            <w:pPr>
              <w:jc w:val="center"/>
              <w:rPr>
                <w:b/>
                <w:color w:val="000000"/>
                <w:lang w:val="uk-UA"/>
              </w:rPr>
            </w:pPr>
            <w:r w:rsidRPr="004C6706"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b/>
                <w:color w:val="000000"/>
                <w:lang w:val="uk-UA"/>
              </w:rPr>
            </w:pPr>
            <w:r w:rsidRPr="004C6706">
              <w:rPr>
                <w:b/>
                <w:color w:val="000000"/>
                <w:lang w:val="uk-UA"/>
              </w:rPr>
              <w:t>7438,60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BF0430" w:rsidP="00115FDA">
            <w:pPr>
              <w:jc w:val="center"/>
              <w:rPr>
                <w:b/>
                <w:color w:val="000000"/>
                <w:lang w:val="uk-UA"/>
              </w:rPr>
            </w:pPr>
            <w:r w:rsidRPr="004C6706"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30" w:rsidRPr="004C6706" w:rsidRDefault="001C0AE1" w:rsidP="00115FDA">
            <w:pPr>
              <w:jc w:val="center"/>
              <w:rPr>
                <w:b/>
                <w:color w:val="000000"/>
                <w:lang w:val="uk-UA"/>
              </w:rPr>
            </w:pPr>
            <w:r w:rsidRPr="004C6706">
              <w:rPr>
                <w:b/>
                <w:color w:val="000000"/>
                <w:lang w:val="uk-UA"/>
              </w:rPr>
              <w:t>1011,72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430" w:rsidRPr="004C6706" w:rsidRDefault="001C0AE1" w:rsidP="001C0AE1">
            <w:pPr>
              <w:jc w:val="center"/>
              <w:rPr>
                <w:b/>
                <w:color w:val="000000"/>
                <w:lang w:val="uk-UA"/>
              </w:rPr>
            </w:pPr>
            <w:r w:rsidRPr="004C6706">
              <w:rPr>
                <w:b/>
                <w:color w:val="000000"/>
                <w:lang w:val="uk-UA"/>
              </w:rPr>
              <w:t>13,60</w:t>
            </w:r>
          </w:p>
        </w:tc>
      </w:tr>
    </w:tbl>
    <w:p w:rsidR="00CF4E7B" w:rsidRDefault="00CF4E7B" w:rsidP="006D03CC">
      <w:pPr>
        <w:jc w:val="right"/>
        <w:rPr>
          <w:lang w:val="uk-UA"/>
        </w:rPr>
      </w:pPr>
    </w:p>
    <w:p w:rsidR="00E106F6" w:rsidRDefault="006D03CC" w:rsidP="006D03CC">
      <w:pPr>
        <w:jc w:val="right"/>
        <w:rPr>
          <w:lang w:val="uk-UA"/>
        </w:rPr>
      </w:pPr>
      <w:r>
        <w:rPr>
          <w:lang w:val="uk-UA"/>
        </w:rPr>
        <w:lastRenderedPageBreak/>
        <w:t>Діаграма 1</w:t>
      </w:r>
    </w:p>
    <w:p w:rsidR="00D304FE" w:rsidRPr="006F4D10" w:rsidRDefault="00701274" w:rsidP="00B23029">
      <w:pPr>
        <w:jc w:val="center"/>
        <w:rPr>
          <w:b/>
          <w:lang w:val="uk-UA"/>
        </w:rPr>
      </w:pPr>
      <w:r w:rsidRPr="006F4D10">
        <w:rPr>
          <w:b/>
          <w:lang w:val="uk-UA"/>
        </w:rPr>
        <w:t xml:space="preserve">Динаміка </w:t>
      </w:r>
      <w:r w:rsidR="00E106F6" w:rsidRPr="006F4D10">
        <w:rPr>
          <w:b/>
          <w:lang w:val="uk-UA"/>
        </w:rPr>
        <w:t>това</w:t>
      </w:r>
      <w:r w:rsidR="00D304FE" w:rsidRPr="006F4D10">
        <w:rPr>
          <w:b/>
          <w:lang w:val="uk-UA"/>
        </w:rPr>
        <w:t>рообігу КПШХ «Мрія» ОМР</w:t>
      </w:r>
    </w:p>
    <w:p w:rsidR="00BC2064" w:rsidRPr="00EB0B84" w:rsidRDefault="00D304FE" w:rsidP="00EB0B84">
      <w:pPr>
        <w:jc w:val="center"/>
        <w:rPr>
          <w:b/>
          <w:lang w:val="uk-UA"/>
        </w:rPr>
      </w:pPr>
      <w:r w:rsidRPr="006F4D10">
        <w:rPr>
          <w:b/>
          <w:lang w:val="uk-UA"/>
        </w:rPr>
        <w:t xml:space="preserve"> за 9 місяців </w:t>
      </w:r>
      <w:r w:rsidR="00E106F6" w:rsidRPr="006F4D10">
        <w:rPr>
          <w:b/>
          <w:lang w:val="uk-UA"/>
        </w:rPr>
        <w:t>2019 р</w:t>
      </w:r>
      <w:r w:rsidRPr="006F4D10">
        <w:rPr>
          <w:b/>
          <w:lang w:val="uk-UA"/>
        </w:rPr>
        <w:t xml:space="preserve">оку </w:t>
      </w:r>
      <w:r w:rsidR="00E106F6" w:rsidRPr="006F4D10">
        <w:rPr>
          <w:b/>
          <w:lang w:val="uk-UA"/>
        </w:rPr>
        <w:t xml:space="preserve"> та 9 міс</w:t>
      </w:r>
      <w:r w:rsidRPr="006F4D10">
        <w:rPr>
          <w:b/>
          <w:lang w:val="uk-UA"/>
        </w:rPr>
        <w:t>яців 2018 року</w:t>
      </w:r>
    </w:p>
    <w:p w:rsidR="00954466" w:rsidRDefault="00D635EC" w:rsidP="00B2302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062573" cy="2972304"/>
            <wp:effectExtent l="19050" t="0" r="1437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576" w:rsidRPr="00CF4E7B" w:rsidRDefault="00F05576">
      <w:pPr>
        <w:rPr>
          <w:b/>
          <w:sz w:val="16"/>
          <w:szCs w:val="16"/>
          <w:lang w:val="uk-UA"/>
        </w:rPr>
      </w:pPr>
    </w:p>
    <w:p w:rsidR="00EB0B84" w:rsidRDefault="006C120C" w:rsidP="00EB0B84">
      <w:pPr>
        <w:jc w:val="center"/>
        <w:rPr>
          <w:b/>
          <w:lang w:val="uk-UA"/>
        </w:rPr>
      </w:pPr>
      <w:r w:rsidRPr="004D1951">
        <w:rPr>
          <w:b/>
          <w:lang w:val="uk-UA"/>
        </w:rPr>
        <w:t>ІІІ. АНАЛІЗ ФІНАНСОВО-ГОСПОДАРСЬКОЇ ДІЯЛЬНОСТІ</w:t>
      </w:r>
      <w:r w:rsidR="006F4D10">
        <w:rPr>
          <w:b/>
          <w:lang w:val="uk-UA"/>
        </w:rPr>
        <w:t xml:space="preserve"> ПІДПРИЄМСТВА</w:t>
      </w:r>
    </w:p>
    <w:p w:rsidR="00CF4E7B" w:rsidRDefault="00A065A3" w:rsidP="00CF4E7B">
      <w:pPr>
        <w:ind w:firstLine="708"/>
        <w:jc w:val="both"/>
        <w:rPr>
          <w:lang w:val="uk-UA"/>
        </w:rPr>
      </w:pPr>
      <w:r>
        <w:rPr>
          <w:lang w:val="uk-UA"/>
        </w:rPr>
        <w:t>Основні показники фінансово-господарської діяльності наведені в таблиці 2.</w:t>
      </w:r>
    </w:p>
    <w:p w:rsidR="00A065A3" w:rsidRDefault="00A065A3" w:rsidP="00A065A3">
      <w:pPr>
        <w:jc w:val="right"/>
        <w:rPr>
          <w:lang w:val="uk-UA"/>
        </w:rPr>
      </w:pPr>
      <w:r>
        <w:rPr>
          <w:lang w:val="uk-UA"/>
        </w:rPr>
        <w:t>Таблиця 2.</w:t>
      </w:r>
    </w:p>
    <w:p w:rsidR="00A35D03" w:rsidRDefault="00A065A3" w:rsidP="00EB0B84">
      <w:pPr>
        <w:jc w:val="center"/>
        <w:rPr>
          <w:b/>
          <w:lang w:val="uk-UA"/>
        </w:rPr>
      </w:pPr>
      <w:r w:rsidRPr="00D625AB">
        <w:rPr>
          <w:b/>
          <w:lang w:val="uk-UA"/>
        </w:rPr>
        <w:t>Основні показники фінансово-господарської діяльності комунального підприємства шкільного харчування «Мрія» Охтирської міської ради</w:t>
      </w:r>
    </w:p>
    <w:p w:rsidR="00CF4E7B" w:rsidRPr="00CF4E7B" w:rsidRDefault="00CF4E7B" w:rsidP="00EB0B84">
      <w:pPr>
        <w:jc w:val="center"/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134"/>
        <w:gridCol w:w="1134"/>
        <w:gridCol w:w="1134"/>
        <w:gridCol w:w="992"/>
        <w:gridCol w:w="851"/>
      </w:tblGrid>
      <w:tr w:rsidR="00975FC0" w:rsidRPr="00EF7158" w:rsidTr="00EB0B84">
        <w:trPr>
          <w:trHeight w:val="411"/>
        </w:trPr>
        <w:tc>
          <w:tcPr>
            <w:tcW w:w="534" w:type="dxa"/>
            <w:vMerge w:val="restart"/>
            <w:vAlign w:val="center"/>
          </w:tcPr>
          <w:p w:rsidR="00975FC0" w:rsidRPr="00EF7158" w:rsidRDefault="00975FC0" w:rsidP="00EB0B84">
            <w:pPr>
              <w:ind w:left="-142" w:right="-108"/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№ з/п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Показники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 xml:space="preserve">Од. </w:t>
            </w:r>
            <w:proofErr w:type="spellStart"/>
            <w:r w:rsidRPr="00EF7158">
              <w:rPr>
                <w:lang w:val="uk-UA"/>
              </w:rPr>
              <w:t>вим</w:t>
            </w:r>
            <w:proofErr w:type="spellEnd"/>
            <w:r w:rsidRPr="00EF7158">
              <w:rPr>
                <w:lang w:val="uk-UA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Дані за 9 міс.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 xml:space="preserve">Відхилення </w:t>
            </w:r>
          </w:p>
        </w:tc>
      </w:tr>
      <w:tr w:rsidR="00EB0B84" w:rsidRPr="00EF7158" w:rsidTr="00EB0B84">
        <w:trPr>
          <w:trHeight w:val="417"/>
        </w:trPr>
        <w:tc>
          <w:tcPr>
            <w:tcW w:w="534" w:type="dxa"/>
            <w:vMerge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FC0" w:rsidRPr="00EF7158" w:rsidRDefault="00975FC0" w:rsidP="00EB0B84">
            <w:pPr>
              <w:ind w:left="-108" w:right="-108"/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FC0" w:rsidRPr="00EF7158" w:rsidRDefault="00975FC0" w:rsidP="00EF715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2018 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FC0" w:rsidRPr="00EF7158" w:rsidRDefault="00D625AB" w:rsidP="00EF71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+/-</w:t>
            </w:r>
          </w:p>
        </w:tc>
        <w:tc>
          <w:tcPr>
            <w:tcW w:w="851" w:type="dxa"/>
            <w:vAlign w:val="center"/>
          </w:tcPr>
          <w:p w:rsidR="00975FC0" w:rsidRPr="00EF7158" w:rsidRDefault="00975FC0" w:rsidP="00EF715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%</w:t>
            </w:r>
          </w:p>
        </w:tc>
      </w:tr>
      <w:tr w:rsidR="00EB0B84" w:rsidRPr="00EF7158" w:rsidTr="00EB0B84">
        <w:tc>
          <w:tcPr>
            <w:tcW w:w="534" w:type="dxa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5FC0" w:rsidRPr="00EF7158" w:rsidRDefault="00975FC0" w:rsidP="009E5718">
            <w:pPr>
              <w:rPr>
                <w:lang w:val="uk-UA"/>
              </w:rPr>
            </w:pPr>
            <w:r w:rsidRPr="00EF7158">
              <w:rPr>
                <w:lang w:val="uk-UA"/>
              </w:rPr>
              <w:t>Виручка від реалізації продукції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975FC0" w:rsidRPr="00EF7158" w:rsidRDefault="00975FC0" w:rsidP="00EB0B84">
            <w:pPr>
              <w:ind w:left="-108" w:right="-108"/>
              <w:jc w:val="center"/>
            </w:pPr>
            <w:r w:rsidRPr="00EF7158">
              <w:t>8450,32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FC0" w:rsidRPr="00EF7158" w:rsidRDefault="00975FC0" w:rsidP="00EF7158">
            <w:pPr>
              <w:jc w:val="center"/>
            </w:pPr>
            <w:r w:rsidRPr="00EF7158">
              <w:t>7438,6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FC0" w:rsidRPr="00EF7158" w:rsidRDefault="00975FC0" w:rsidP="00EB0B84">
            <w:pPr>
              <w:ind w:left="-108" w:right="-108"/>
              <w:jc w:val="center"/>
            </w:pPr>
            <w:r w:rsidRPr="00EF7158">
              <w:t>1011,72</w:t>
            </w:r>
          </w:p>
        </w:tc>
        <w:tc>
          <w:tcPr>
            <w:tcW w:w="851" w:type="dxa"/>
            <w:vAlign w:val="center"/>
          </w:tcPr>
          <w:p w:rsidR="00975FC0" w:rsidRPr="00EF7158" w:rsidRDefault="00787407" w:rsidP="00EF715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13,60</w:t>
            </w:r>
          </w:p>
        </w:tc>
      </w:tr>
      <w:tr w:rsidR="00EB0B84" w:rsidRPr="00EF7158" w:rsidTr="00EB0B84">
        <w:tc>
          <w:tcPr>
            <w:tcW w:w="534" w:type="dxa"/>
            <w:vAlign w:val="center"/>
          </w:tcPr>
          <w:p w:rsidR="00975FC0" w:rsidRPr="00EF7158" w:rsidRDefault="00975FC0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5FC0" w:rsidRPr="00EF7158" w:rsidRDefault="00975FC0" w:rsidP="009E5718">
            <w:pPr>
              <w:rPr>
                <w:lang w:val="uk-UA"/>
              </w:rPr>
            </w:pPr>
            <w:r w:rsidRPr="00EF7158">
              <w:rPr>
                <w:lang w:val="uk-UA"/>
              </w:rPr>
              <w:t>Податок на додану вартість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975FC0" w:rsidRPr="00EF7158" w:rsidRDefault="00975FC0" w:rsidP="00EF7158">
            <w:pPr>
              <w:jc w:val="center"/>
            </w:pPr>
            <w:r w:rsidRPr="00EF7158">
              <w:t>399,60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FC0" w:rsidRPr="00EF7158" w:rsidRDefault="00975FC0" w:rsidP="00EF7158">
            <w:pPr>
              <w:jc w:val="center"/>
            </w:pPr>
            <w:r w:rsidRPr="00EF7158">
              <w:t>402,7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FC0" w:rsidRPr="00EF7158" w:rsidRDefault="00975FC0" w:rsidP="00EF7158">
            <w:pPr>
              <w:jc w:val="center"/>
            </w:pPr>
            <w:r w:rsidRPr="00EF7158">
              <w:t>-3,10</w:t>
            </w:r>
          </w:p>
        </w:tc>
        <w:tc>
          <w:tcPr>
            <w:tcW w:w="851" w:type="dxa"/>
            <w:vAlign w:val="center"/>
          </w:tcPr>
          <w:p w:rsidR="00975FC0" w:rsidRPr="00EF7158" w:rsidRDefault="00787407" w:rsidP="00EF715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-</w:t>
            </w:r>
            <w:r w:rsidR="0074026E">
              <w:rPr>
                <w:lang w:val="uk-UA"/>
              </w:rPr>
              <w:t>0,70</w:t>
            </w:r>
          </w:p>
        </w:tc>
      </w:tr>
      <w:tr w:rsidR="00CF4E7B" w:rsidRPr="00EF7158" w:rsidTr="00EB0B84">
        <w:tc>
          <w:tcPr>
            <w:tcW w:w="534" w:type="dxa"/>
            <w:vMerge w:val="restart"/>
            <w:vAlign w:val="center"/>
          </w:tcPr>
          <w:p w:rsidR="00CF4E7B" w:rsidRPr="00EF7158" w:rsidRDefault="00CF4E7B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4E7B" w:rsidRPr="00EF7158" w:rsidRDefault="00CF4E7B" w:rsidP="009E5718">
            <w:pPr>
              <w:rPr>
                <w:lang w:val="uk-UA"/>
              </w:rPr>
            </w:pPr>
            <w:r w:rsidRPr="00EF7158">
              <w:rPr>
                <w:lang w:val="uk-UA"/>
              </w:rPr>
              <w:t xml:space="preserve">Чистий </w:t>
            </w:r>
            <w:r>
              <w:rPr>
                <w:lang w:val="uk-UA"/>
              </w:rPr>
              <w:t>дохід від реалізації продукції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7B" w:rsidRPr="00EF7158" w:rsidRDefault="00CF4E7B" w:rsidP="009E5718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CF4E7B" w:rsidRPr="00EF7158" w:rsidRDefault="00CF4E7B" w:rsidP="00EB0B84">
            <w:pPr>
              <w:ind w:left="-108" w:right="-108"/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8061,20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7B" w:rsidRPr="00EF7158" w:rsidRDefault="00CF4E7B" w:rsidP="00EF715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7039,90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E7B" w:rsidRPr="00EF7158" w:rsidRDefault="00CF4E7B" w:rsidP="00EB0B84">
            <w:pPr>
              <w:ind w:left="-108" w:right="-108"/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1021,30</w:t>
            </w:r>
          </w:p>
        </w:tc>
        <w:tc>
          <w:tcPr>
            <w:tcW w:w="851" w:type="dxa"/>
            <w:vAlign w:val="center"/>
          </w:tcPr>
          <w:p w:rsidR="00CF4E7B" w:rsidRPr="00EF7158" w:rsidRDefault="00CF4E7B" w:rsidP="00EF71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14,51</w:t>
            </w:r>
          </w:p>
        </w:tc>
      </w:tr>
      <w:tr w:rsidR="00CF4E7B" w:rsidRPr="00EF7158" w:rsidTr="00EB0B84">
        <w:tc>
          <w:tcPr>
            <w:tcW w:w="534" w:type="dxa"/>
            <w:vMerge/>
            <w:vAlign w:val="center"/>
          </w:tcPr>
          <w:p w:rsidR="00CF4E7B" w:rsidRPr="00EF7158" w:rsidRDefault="00CF4E7B" w:rsidP="009E5718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E7B" w:rsidRPr="0001156E" w:rsidRDefault="00CF4E7B" w:rsidP="00EB0B84">
            <w:pPr>
              <w:rPr>
                <w:sz w:val="22"/>
                <w:szCs w:val="22"/>
                <w:lang w:val="uk-UA"/>
              </w:rPr>
            </w:pPr>
            <w:r w:rsidRPr="0001156E">
              <w:rPr>
                <w:sz w:val="22"/>
                <w:szCs w:val="22"/>
                <w:lang w:val="uk-UA"/>
              </w:rPr>
              <w:t>Чистий дохід від реалізації продукції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7B" w:rsidRPr="0001156E" w:rsidRDefault="00CF4E7B" w:rsidP="009E5718">
            <w:pPr>
              <w:jc w:val="center"/>
              <w:rPr>
                <w:sz w:val="22"/>
                <w:szCs w:val="22"/>
                <w:lang w:val="uk-UA"/>
              </w:rPr>
            </w:pPr>
            <w:r w:rsidRPr="0001156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</w:rPr>
            </w:pPr>
            <w:r w:rsidRPr="0001156E">
              <w:rPr>
                <w:sz w:val="22"/>
                <w:szCs w:val="22"/>
              </w:rPr>
              <w:t>8050,70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</w:rPr>
            </w:pPr>
            <w:r w:rsidRPr="0001156E">
              <w:rPr>
                <w:sz w:val="22"/>
                <w:szCs w:val="22"/>
              </w:rPr>
              <w:t>7035,9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</w:rPr>
            </w:pPr>
            <w:r w:rsidRPr="0001156E">
              <w:rPr>
                <w:sz w:val="22"/>
                <w:szCs w:val="22"/>
              </w:rPr>
              <w:t>1014,80</w:t>
            </w:r>
          </w:p>
        </w:tc>
        <w:tc>
          <w:tcPr>
            <w:tcW w:w="851" w:type="dxa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</w:rPr>
            </w:pPr>
            <w:r w:rsidRPr="0001156E">
              <w:rPr>
                <w:sz w:val="22"/>
                <w:szCs w:val="22"/>
                <w:lang w:val="uk-UA"/>
              </w:rPr>
              <w:t>14,42</w:t>
            </w:r>
          </w:p>
        </w:tc>
      </w:tr>
      <w:tr w:rsidR="00CF4E7B" w:rsidRPr="00EF7158" w:rsidTr="00EB0B84">
        <w:tc>
          <w:tcPr>
            <w:tcW w:w="534" w:type="dxa"/>
            <w:vMerge/>
            <w:vAlign w:val="center"/>
          </w:tcPr>
          <w:p w:rsidR="00CF4E7B" w:rsidRPr="00EF7158" w:rsidRDefault="00CF4E7B" w:rsidP="009E5718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E7B" w:rsidRPr="0001156E" w:rsidRDefault="00CF4E7B" w:rsidP="007D07ED">
            <w:pPr>
              <w:jc w:val="right"/>
              <w:rPr>
                <w:sz w:val="22"/>
                <w:szCs w:val="22"/>
                <w:lang w:val="uk-UA"/>
              </w:rPr>
            </w:pPr>
            <w:r w:rsidRPr="0001156E">
              <w:rPr>
                <w:sz w:val="22"/>
                <w:szCs w:val="22"/>
                <w:lang w:val="uk-UA"/>
              </w:rPr>
              <w:t>Інші доходи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7B" w:rsidRPr="0001156E" w:rsidRDefault="00CF4E7B" w:rsidP="009E5718">
            <w:pPr>
              <w:jc w:val="center"/>
              <w:rPr>
                <w:sz w:val="22"/>
                <w:szCs w:val="22"/>
                <w:lang w:val="uk-UA"/>
              </w:rPr>
            </w:pPr>
            <w:r w:rsidRPr="0001156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</w:rPr>
            </w:pPr>
            <w:r w:rsidRPr="0001156E">
              <w:rPr>
                <w:sz w:val="22"/>
                <w:szCs w:val="22"/>
              </w:rPr>
              <w:t>10,50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  <w:lang w:val="uk-UA"/>
              </w:rPr>
            </w:pPr>
            <w:r w:rsidRPr="0001156E">
              <w:rPr>
                <w:sz w:val="22"/>
                <w:szCs w:val="22"/>
              </w:rPr>
              <w:t>4</w:t>
            </w:r>
            <w:r w:rsidRPr="0001156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</w:rPr>
            </w:pPr>
            <w:r w:rsidRPr="0001156E">
              <w:rPr>
                <w:sz w:val="22"/>
                <w:szCs w:val="22"/>
              </w:rPr>
              <w:t>6,50</w:t>
            </w:r>
          </w:p>
        </w:tc>
        <w:tc>
          <w:tcPr>
            <w:tcW w:w="851" w:type="dxa"/>
            <w:vAlign w:val="center"/>
          </w:tcPr>
          <w:p w:rsidR="00CF4E7B" w:rsidRPr="0001156E" w:rsidRDefault="00CF4E7B" w:rsidP="00EF7158">
            <w:pPr>
              <w:jc w:val="center"/>
              <w:rPr>
                <w:sz w:val="22"/>
                <w:szCs w:val="22"/>
                <w:lang w:val="uk-UA"/>
              </w:rPr>
            </w:pPr>
            <w:r w:rsidRPr="0001156E">
              <w:rPr>
                <w:sz w:val="22"/>
                <w:szCs w:val="22"/>
                <w:lang w:val="uk-UA"/>
              </w:rPr>
              <w:t>162,5</w:t>
            </w:r>
          </w:p>
        </w:tc>
      </w:tr>
      <w:tr w:rsidR="00EB0B84" w:rsidRPr="00EF7158" w:rsidTr="00EB0B84">
        <w:tc>
          <w:tcPr>
            <w:tcW w:w="534" w:type="dxa"/>
            <w:vAlign w:val="center"/>
          </w:tcPr>
          <w:p w:rsidR="00975FC0" w:rsidRPr="00EF7158" w:rsidRDefault="00EF7158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5FC0" w:rsidRPr="00EF7158" w:rsidRDefault="00975FC0" w:rsidP="009E5718">
            <w:pPr>
              <w:rPr>
                <w:lang w:val="uk-UA"/>
              </w:rPr>
            </w:pPr>
            <w:r w:rsidRPr="00EF7158">
              <w:rPr>
                <w:lang w:val="uk-UA"/>
              </w:rPr>
              <w:t>Витрати</w:t>
            </w:r>
            <w:r w:rsidR="00343730">
              <w:rPr>
                <w:lang w:val="uk-UA"/>
              </w:rPr>
              <w:t xml:space="preserve"> виробництва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FC0" w:rsidRPr="00EF7158" w:rsidRDefault="00975FC0" w:rsidP="009E5718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975FC0" w:rsidRPr="00EF7158" w:rsidRDefault="004D0F79" w:rsidP="00EB0B8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5933,93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FC0" w:rsidRPr="00EF7158" w:rsidRDefault="00343730" w:rsidP="00EF71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14F2C">
              <w:rPr>
                <w:lang w:val="uk-UA"/>
              </w:rPr>
              <w:t>268</w:t>
            </w:r>
            <w:r w:rsidR="004D0F79">
              <w:rPr>
                <w:lang w:val="uk-UA"/>
              </w:rPr>
              <w:t>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FC0" w:rsidRPr="00EF7158" w:rsidRDefault="00C14F2C" w:rsidP="00EF715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665,03</w:t>
            </w:r>
          </w:p>
        </w:tc>
        <w:tc>
          <w:tcPr>
            <w:tcW w:w="851" w:type="dxa"/>
            <w:vAlign w:val="center"/>
          </w:tcPr>
          <w:p w:rsidR="00975FC0" w:rsidRPr="00EF7158" w:rsidRDefault="00C14F2C" w:rsidP="00EF715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12,62</w:t>
            </w:r>
          </w:p>
        </w:tc>
      </w:tr>
      <w:tr w:rsidR="00EB0B84" w:rsidRPr="00EF7158" w:rsidTr="00EB0B84">
        <w:tc>
          <w:tcPr>
            <w:tcW w:w="534" w:type="dxa"/>
            <w:vAlign w:val="center"/>
          </w:tcPr>
          <w:p w:rsidR="007D07ED" w:rsidRPr="00EF7158" w:rsidRDefault="007D07ED" w:rsidP="009E57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7ED" w:rsidRPr="00EF7158" w:rsidRDefault="007D07ED" w:rsidP="005F4534">
            <w:pPr>
              <w:rPr>
                <w:lang w:val="uk-UA"/>
              </w:rPr>
            </w:pPr>
            <w:r w:rsidRPr="00EF7158">
              <w:rPr>
                <w:lang w:val="uk-UA"/>
              </w:rPr>
              <w:t>Фонд оплати праці</w:t>
            </w:r>
            <w:r w:rsidR="004D0F79">
              <w:rPr>
                <w:lang w:val="uk-UA"/>
              </w:rPr>
              <w:t xml:space="preserve"> з нарахуваннями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EF7158" w:rsidRDefault="007D07ED" w:rsidP="005F4534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7D07ED" w:rsidRPr="004D0F79" w:rsidRDefault="004D0F79" w:rsidP="00EB0B8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2256,27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4D0F79" w:rsidRDefault="004D0F79" w:rsidP="005F4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ED" w:rsidRPr="00C14F2C" w:rsidRDefault="00C14F2C" w:rsidP="005F4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302,27</w:t>
            </w:r>
          </w:p>
        </w:tc>
        <w:tc>
          <w:tcPr>
            <w:tcW w:w="851" w:type="dxa"/>
            <w:vAlign w:val="center"/>
          </w:tcPr>
          <w:p w:rsidR="007D07ED" w:rsidRPr="00EF7158" w:rsidRDefault="00C14F2C" w:rsidP="005F4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15,47</w:t>
            </w:r>
          </w:p>
        </w:tc>
      </w:tr>
      <w:tr w:rsidR="00EB0B84" w:rsidRPr="00EF7158" w:rsidTr="00EB0B84">
        <w:tc>
          <w:tcPr>
            <w:tcW w:w="534" w:type="dxa"/>
            <w:vAlign w:val="center"/>
          </w:tcPr>
          <w:p w:rsidR="007D07ED" w:rsidRPr="00EF7158" w:rsidRDefault="007D07ED" w:rsidP="009E57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7ED" w:rsidRPr="00EF7158" w:rsidRDefault="007D07ED" w:rsidP="009E5718">
            <w:pPr>
              <w:rPr>
                <w:lang w:val="uk-UA"/>
              </w:rPr>
            </w:pPr>
            <w:r w:rsidRPr="00EF7158">
              <w:rPr>
                <w:lang w:val="uk-UA"/>
              </w:rPr>
              <w:t>Фінансовий результат від операційної діяльності  (прибуток/збиток)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EF7158" w:rsidRDefault="007D07ED" w:rsidP="009E5718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7D07ED" w:rsidRPr="00EF7158" w:rsidRDefault="007D07ED" w:rsidP="00EF7158">
            <w:pPr>
              <w:jc w:val="center"/>
            </w:pPr>
            <w:r w:rsidRPr="00EF7158">
              <w:t>-129,00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EF7158" w:rsidRDefault="007D07ED" w:rsidP="00EF7158">
            <w:pPr>
              <w:jc w:val="center"/>
              <w:rPr>
                <w:lang w:val="uk-UA"/>
              </w:rPr>
            </w:pPr>
            <w:r w:rsidRPr="00EF7158">
              <w:t>-183</w:t>
            </w:r>
            <w:r w:rsidRPr="00EF7158">
              <w:rPr>
                <w:lang w:val="uk-UA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ED" w:rsidRPr="00EF7158" w:rsidRDefault="007D07ED" w:rsidP="00EF7158">
            <w:pPr>
              <w:jc w:val="center"/>
            </w:pPr>
            <w:r w:rsidRPr="00EF7158">
              <w:t>-54,00</w:t>
            </w:r>
          </w:p>
        </w:tc>
        <w:tc>
          <w:tcPr>
            <w:tcW w:w="851" w:type="dxa"/>
            <w:vAlign w:val="center"/>
          </w:tcPr>
          <w:p w:rsidR="007D07ED" w:rsidRPr="00EF7158" w:rsidRDefault="007D07ED" w:rsidP="008F0697">
            <w:pPr>
              <w:ind w:left="-108" w:right="-108"/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-29,51</w:t>
            </w:r>
          </w:p>
        </w:tc>
      </w:tr>
      <w:tr w:rsidR="00EB0B84" w:rsidRPr="00EF7158" w:rsidTr="00EB0B84">
        <w:tc>
          <w:tcPr>
            <w:tcW w:w="534" w:type="dxa"/>
            <w:vAlign w:val="center"/>
          </w:tcPr>
          <w:p w:rsidR="007D07ED" w:rsidRPr="00EF7158" w:rsidRDefault="007D07ED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7ED" w:rsidRPr="00EF7158" w:rsidRDefault="007D07ED" w:rsidP="00217070">
            <w:pPr>
              <w:rPr>
                <w:lang w:val="uk-UA"/>
              </w:rPr>
            </w:pPr>
            <w:r w:rsidRPr="00EF7158">
              <w:rPr>
                <w:lang w:val="uk-UA"/>
              </w:rPr>
              <w:t>Середньооблікова чисельність працівників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EF7158" w:rsidRDefault="007D07ED" w:rsidP="009E5718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  <w:vAlign w:val="center"/>
          </w:tcPr>
          <w:p w:rsidR="007D07ED" w:rsidRPr="00EF7158" w:rsidRDefault="007D07ED" w:rsidP="00EF7158">
            <w:pPr>
              <w:jc w:val="center"/>
              <w:rPr>
                <w:lang w:val="uk-UA"/>
              </w:rPr>
            </w:pPr>
            <w:r w:rsidRPr="00EF7158"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EF7158" w:rsidRDefault="007D07ED" w:rsidP="00EF7158">
            <w:pPr>
              <w:jc w:val="center"/>
            </w:pPr>
            <w:r w:rsidRPr="00EF7158"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ED" w:rsidRPr="00EF7158" w:rsidRDefault="007D07ED" w:rsidP="00EF7158">
            <w:pPr>
              <w:jc w:val="center"/>
              <w:rPr>
                <w:lang w:val="uk-UA"/>
              </w:rPr>
            </w:pPr>
            <w:r w:rsidRPr="00EF7158">
              <w:t>2</w:t>
            </w:r>
          </w:p>
        </w:tc>
        <w:tc>
          <w:tcPr>
            <w:tcW w:w="851" w:type="dxa"/>
            <w:vAlign w:val="center"/>
          </w:tcPr>
          <w:p w:rsidR="007D07ED" w:rsidRPr="00EF7158" w:rsidRDefault="007D07ED" w:rsidP="00EF715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4,76</w:t>
            </w:r>
          </w:p>
        </w:tc>
      </w:tr>
      <w:tr w:rsidR="00EB0B84" w:rsidRPr="00EF7158" w:rsidTr="00EB0B84">
        <w:tc>
          <w:tcPr>
            <w:tcW w:w="534" w:type="dxa"/>
            <w:vAlign w:val="center"/>
          </w:tcPr>
          <w:p w:rsidR="007D07ED" w:rsidRPr="00EF7158" w:rsidRDefault="007D07ED" w:rsidP="009E571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7ED" w:rsidRPr="00EF7158" w:rsidRDefault="007D07ED" w:rsidP="009E5718">
            <w:pPr>
              <w:rPr>
                <w:lang w:val="uk-UA"/>
              </w:rPr>
            </w:pPr>
            <w:r w:rsidRPr="00EF7158">
              <w:rPr>
                <w:lang w:val="uk-UA"/>
              </w:rPr>
              <w:t>Середня заробітна плата одного працівника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EF7158" w:rsidRDefault="007D07ED" w:rsidP="009E5718">
            <w:pPr>
              <w:jc w:val="center"/>
              <w:rPr>
                <w:sz w:val="24"/>
                <w:szCs w:val="24"/>
                <w:lang w:val="uk-UA"/>
              </w:rPr>
            </w:pPr>
            <w:r w:rsidRPr="00EF7158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Align w:val="center"/>
          </w:tcPr>
          <w:p w:rsidR="007D07ED" w:rsidRPr="00EF7158" w:rsidRDefault="007D07ED" w:rsidP="00EF7158">
            <w:pPr>
              <w:jc w:val="center"/>
            </w:pPr>
            <w:r w:rsidRPr="00EF7158">
              <w:t>4652,53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ED" w:rsidRPr="00EF7158" w:rsidRDefault="007D07ED" w:rsidP="00EF7158">
            <w:pPr>
              <w:jc w:val="center"/>
            </w:pPr>
            <w:r w:rsidRPr="00EF7158">
              <w:t>4210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ED" w:rsidRPr="00EF7158" w:rsidRDefault="007D07ED" w:rsidP="00EF7158">
            <w:pPr>
              <w:jc w:val="center"/>
            </w:pPr>
            <w:r w:rsidRPr="00EF7158">
              <w:t>442,53</w:t>
            </w:r>
          </w:p>
        </w:tc>
        <w:tc>
          <w:tcPr>
            <w:tcW w:w="851" w:type="dxa"/>
            <w:vAlign w:val="center"/>
          </w:tcPr>
          <w:p w:rsidR="007D07ED" w:rsidRPr="00EF7158" w:rsidRDefault="007D07ED" w:rsidP="00EF7158">
            <w:pPr>
              <w:jc w:val="center"/>
              <w:rPr>
                <w:lang w:val="uk-UA"/>
              </w:rPr>
            </w:pPr>
            <w:r w:rsidRPr="00EF7158">
              <w:rPr>
                <w:lang w:val="uk-UA"/>
              </w:rPr>
              <w:t>10,51</w:t>
            </w:r>
          </w:p>
        </w:tc>
      </w:tr>
    </w:tbl>
    <w:p w:rsidR="00B36591" w:rsidRDefault="00EB0B84" w:rsidP="00EB0B84">
      <w:pPr>
        <w:ind w:firstLine="708"/>
        <w:jc w:val="both"/>
        <w:rPr>
          <w:lang w:val="uk-UA"/>
        </w:rPr>
      </w:pPr>
      <w:r w:rsidRPr="003573DC">
        <w:rPr>
          <w:lang w:val="uk-UA"/>
        </w:rPr>
        <w:lastRenderedPageBreak/>
        <w:t xml:space="preserve">Аналізуючи </w:t>
      </w:r>
      <w:r>
        <w:rPr>
          <w:lang w:val="uk-UA"/>
        </w:rPr>
        <w:t xml:space="preserve">показники фінансово-господарської діяльності підприємства за 9 місяців 2019 року отримуємо фінансовий результат в розмірі -129 тис. грн. Враховуючи сезонність роботи </w:t>
      </w:r>
      <w:r w:rsidR="00CF4E7B">
        <w:rPr>
          <w:lang w:val="uk-UA"/>
        </w:rPr>
        <w:t>КПШХ «Мрія» ОМР</w:t>
      </w:r>
      <w:r w:rsidR="00B36591">
        <w:rPr>
          <w:lang w:val="uk-UA"/>
        </w:rPr>
        <w:t>,</w:t>
      </w:r>
      <w:r>
        <w:rPr>
          <w:lang w:val="uk-UA"/>
        </w:rPr>
        <w:t xml:space="preserve"> т</w:t>
      </w:r>
      <w:r w:rsidR="008F0697">
        <w:rPr>
          <w:lang w:val="uk-UA"/>
        </w:rPr>
        <w:t>акий показник є закономірним</w:t>
      </w:r>
      <w:r w:rsidR="00B36591">
        <w:rPr>
          <w:lang w:val="uk-UA"/>
        </w:rPr>
        <w:t>. В</w:t>
      </w:r>
      <w:r w:rsidR="00F70DC1">
        <w:rPr>
          <w:lang w:val="uk-UA"/>
        </w:rPr>
        <w:t xml:space="preserve"> літній період зменшується дохід підприємства та зростають витрати на виплату заробітної плати з нарахуваннями під час відпускної кампанії та звільнення працівників</w:t>
      </w:r>
      <w:r w:rsidR="008F0697">
        <w:rPr>
          <w:lang w:val="uk-UA"/>
        </w:rPr>
        <w:t xml:space="preserve">. </w:t>
      </w:r>
    </w:p>
    <w:p w:rsidR="00EB0B84" w:rsidRDefault="00320F94" w:rsidP="00EB0B84">
      <w:pPr>
        <w:ind w:firstLine="708"/>
        <w:jc w:val="both"/>
        <w:rPr>
          <w:lang w:val="uk-UA"/>
        </w:rPr>
      </w:pPr>
      <w:r>
        <w:rPr>
          <w:lang w:val="uk-UA"/>
        </w:rPr>
        <w:t>Д</w:t>
      </w:r>
      <w:r w:rsidR="00EB0B84">
        <w:rPr>
          <w:lang w:val="uk-UA"/>
        </w:rPr>
        <w:t xml:space="preserve">ля порівняння, за 9 місяців 2018 року збитки підприємства складали  183 тис. </w:t>
      </w:r>
      <w:r w:rsidR="00CF4E7B">
        <w:rPr>
          <w:lang w:val="uk-UA"/>
        </w:rPr>
        <w:t xml:space="preserve">грн., що на </w:t>
      </w:r>
      <w:r w:rsidR="00EB0B84">
        <w:rPr>
          <w:lang w:val="uk-UA"/>
        </w:rPr>
        <w:t xml:space="preserve"> 54,00 тис. грн. (29,51 %) </w:t>
      </w:r>
      <w:r w:rsidR="00B36591">
        <w:rPr>
          <w:lang w:val="uk-UA"/>
        </w:rPr>
        <w:t>більше ніж у поточному періоді. А втім, за</w:t>
      </w:r>
      <w:r w:rsidR="00A0773E">
        <w:rPr>
          <w:lang w:val="uk-UA"/>
        </w:rPr>
        <w:t xml:space="preserve"> 2018 рік підприємство отримало </w:t>
      </w:r>
      <w:r w:rsidR="00B36591">
        <w:rPr>
          <w:lang w:val="uk-UA"/>
        </w:rPr>
        <w:t xml:space="preserve">чистий </w:t>
      </w:r>
      <w:r w:rsidR="00A0773E">
        <w:rPr>
          <w:lang w:val="uk-UA"/>
        </w:rPr>
        <w:t xml:space="preserve">прибуток в розмірі </w:t>
      </w:r>
      <w:r w:rsidR="00B36591">
        <w:rPr>
          <w:lang w:val="uk-UA"/>
        </w:rPr>
        <w:t xml:space="preserve">1,8 </w:t>
      </w:r>
      <w:proofErr w:type="spellStart"/>
      <w:r w:rsidR="00B36591">
        <w:rPr>
          <w:lang w:val="uk-UA"/>
        </w:rPr>
        <w:t>тис.грн</w:t>
      </w:r>
      <w:proofErr w:type="spellEnd"/>
      <w:r w:rsidR="00B36591">
        <w:rPr>
          <w:lang w:val="uk-UA"/>
        </w:rPr>
        <w:t xml:space="preserve">., тож у 2019 році прагнемо отримати чистий прибуток у розмірі 17,5 </w:t>
      </w:r>
      <w:proofErr w:type="spellStart"/>
      <w:r w:rsidR="00B36591">
        <w:rPr>
          <w:lang w:val="uk-UA"/>
        </w:rPr>
        <w:t>тис.грн</w:t>
      </w:r>
      <w:proofErr w:type="spellEnd"/>
      <w:r w:rsidR="00B36591">
        <w:rPr>
          <w:lang w:val="uk-UA"/>
        </w:rPr>
        <w:t>.</w:t>
      </w:r>
    </w:p>
    <w:p w:rsidR="00EB0B84" w:rsidRDefault="00EB0B84" w:rsidP="00EB0B84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Найбільшу питому вагу в структурі витрат, що вплинули на від’ємний фінансовий результат є заробітна плата з нарахуваннями, яка складає 2256,27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., що на 302,27 тис. грн. (15,47 %) більше ніж в попередньому періоді.</w:t>
      </w:r>
    </w:p>
    <w:p w:rsidR="00014B1C" w:rsidRDefault="00014B1C" w:rsidP="00F70DC1">
      <w:pPr>
        <w:ind w:firstLine="708"/>
        <w:jc w:val="both"/>
        <w:rPr>
          <w:lang w:val="uk-UA"/>
        </w:rPr>
      </w:pPr>
      <w:r>
        <w:rPr>
          <w:lang w:val="uk-UA"/>
        </w:rPr>
        <w:t>Структура витрат КПШХ «Мрія» ОМР наведена в таблиці 3.</w:t>
      </w:r>
    </w:p>
    <w:p w:rsidR="00014B1C" w:rsidRDefault="00014B1C" w:rsidP="00014B1C">
      <w:pPr>
        <w:ind w:firstLine="708"/>
        <w:jc w:val="right"/>
        <w:rPr>
          <w:lang w:val="uk-UA"/>
        </w:rPr>
      </w:pPr>
      <w:r>
        <w:rPr>
          <w:lang w:val="uk-UA"/>
        </w:rPr>
        <w:t>Таблиця 3.</w:t>
      </w:r>
    </w:p>
    <w:p w:rsidR="00014B1C" w:rsidRPr="009D0EE7" w:rsidRDefault="00014B1C" w:rsidP="00C70CDD">
      <w:pPr>
        <w:ind w:firstLine="708"/>
        <w:jc w:val="center"/>
        <w:rPr>
          <w:b/>
          <w:lang w:val="uk-UA"/>
        </w:rPr>
      </w:pPr>
      <w:r w:rsidRPr="009D0EE7">
        <w:rPr>
          <w:b/>
          <w:lang w:val="uk-UA"/>
        </w:rPr>
        <w:t>Витрати комунального підприємства шкільного харчування «Мрія» Охтирської міської ради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992"/>
        <w:gridCol w:w="850"/>
      </w:tblGrid>
      <w:tr w:rsidR="0074026E" w:rsidRPr="004B259E" w:rsidTr="003D0358">
        <w:trPr>
          <w:trHeight w:val="28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26E" w:rsidRPr="004B259E" w:rsidRDefault="0074026E" w:rsidP="00A91A5A">
            <w:pPr>
              <w:jc w:val="center"/>
              <w:rPr>
                <w:color w:val="000000"/>
                <w:sz w:val="24"/>
                <w:szCs w:val="24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9 міс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.2019 </w:t>
            </w:r>
            <w:r w:rsidRPr="004B259E">
              <w:rPr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26E" w:rsidRPr="004B259E" w:rsidRDefault="0074026E" w:rsidP="00A9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9 міс. 2018 </w:t>
            </w:r>
            <w:r w:rsidRPr="004B259E">
              <w:rPr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09158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</w:tr>
      <w:tr w:rsidR="0074026E" w:rsidRPr="004B259E" w:rsidTr="0074026E">
        <w:trPr>
          <w:trHeight w:val="541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jc w:val="center"/>
              <w:rPr>
                <w:color w:val="000000"/>
                <w:sz w:val="24"/>
                <w:szCs w:val="24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4B25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jc w:val="center"/>
              <w:rPr>
                <w:color w:val="000000"/>
                <w:sz w:val="24"/>
                <w:szCs w:val="24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A91A5A">
            <w:pPr>
              <w:ind w:left="-110" w:right="-108"/>
              <w:jc w:val="center"/>
              <w:rPr>
                <w:color w:val="000000"/>
                <w:sz w:val="24"/>
                <w:szCs w:val="24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26E" w:rsidRPr="004B259E" w:rsidTr="003D0358">
        <w:trPr>
          <w:trHeight w:val="243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4B25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259E">
              <w:rPr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4B259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jc w:val="center"/>
              <w:rPr>
                <w:color w:val="000000"/>
                <w:sz w:val="24"/>
                <w:szCs w:val="24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B259E">
              <w:rPr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4B259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jc w:val="center"/>
              <w:rPr>
                <w:color w:val="000000"/>
                <w:sz w:val="24"/>
                <w:szCs w:val="24"/>
              </w:rPr>
            </w:pPr>
            <w:r w:rsidRPr="004B259E">
              <w:rPr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5F453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26E" w:rsidRPr="004B259E" w:rsidRDefault="0074026E" w:rsidP="005F453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74026E" w:rsidRPr="00A91A5A" w:rsidTr="00B36591">
        <w:trPr>
          <w:trHeight w:val="4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5F4534">
            <w:pPr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 xml:space="preserve">1. Матеріальні витрати в </w:t>
            </w:r>
            <w:proofErr w:type="spellStart"/>
            <w:r w:rsidRPr="00A91A5A">
              <w:rPr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A91A5A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303,31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252,60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20,08</w:t>
            </w:r>
          </w:p>
        </w:tc>
      </w:tr>
      <w:tr w:rsidR="0074026E" w:rsidRPr="00A91A5A" w:rsidTr="0074026E">
        <w:trPr>
          <w:trHeight w:val="39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35D0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136,84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40,74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42,39</w:t>
            </w:r>
          </w:p>
        </w:tc>
      </w:tr>
      <w:tr w:rsidR="0074026E" w:rsidRPr="00A91A5A" w:rsidTr="0074026E">
        <w:trPr>
          <w:trHeight w:val="390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35D03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4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47,08</w:t>
            </w:r>
            <w:r w:rsidR="00981BC2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026E" w:rsidRPr="00A91A5A" w:rsidRDefault="00981BC2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кВт.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</w:rPr>
              <w:t>36,50</w:t>
            </w:r>
            <w:r w:rsidR="00981BC2">
              <w:rPr>
                <w:i/>
                <w:color w:val="000000"/>
                <w:sz w:val="24"/>
                <w:szCs w:val="24"/>
                <w:lang w:val="uk-UA"/>
              </w:rPr>
              <w:t xml:space="preserve"> кВт.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10,58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28,99</w:t>
            </w:r>
          </w:p>
        </w:tc>
      </w:tr>
      <w:tr w:rsidR="0074026E" w:rsidRPr="00A91A5A" w:rsidTr="0074026E">
        <w:trPr>
          <w:trHeight w:val="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35D0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Оплата водопостачання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1,38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38,33</w:t>
            </w:r>
          </w:p>
        </w:tc>
      </w:tr>
      <w:tr w:rsidR="0074026E" w:rsidRPr="00A91A5A" w:rsidTr="0074026E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35D0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Закупка паливно-мастильних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58,02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11,79</w:t>
            </w:r>
          </w:p>
        </w:tc>
      </w:tr>
      <w:tr w:rsidR="0074026E" w:rsidRPr="00A91A5A" w:rsidTr="0074026E">
        <w:trPr>
          <w:trHeight w:val="39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35D03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4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2,303</w:t>
            </w:r>
            <w:r w:rsidR="00981BC2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026E" w:rsidRPr="00A91A5A" w:rsidRDefault="00981BC2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тис.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4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</w:rPr>
              <w:t>2,00</w:t>
            </w:r>
          </w:p>
          <w:p w:rsidR="0074026E" w:rsidRPr="00981BC2" w:rsidRDefault="00981BC2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тис.</w:t>
            </w:r>
            <w:r w:rsidR="00320F94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15,15</w:t>
            </w:r>
          </w:p>
        </w:tc>
      </w:tr>
      <w:tr w:rsidR="0074026E" w:rsidRPr="00A91A5A" w:rsidTr="00B36591">
        <w:trPr>
          <w:trHeight w:val="10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41086E" w:rsidP="00A35D03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Закупка</w:t>
            </w:r>
            <w:r w:rsidR="0074026E" w:rsidRPr="00A91A5A">
              <w:rPr>
                <w:i/>
                <w:color w:val="000000"/>
                <w:sz w:val="24"/>
                <w:szCs w:val="24"/>
                <w:lang w:val="uk-UA"/>
              </w:rPr>
              <w:t xml:space="preserve"> посуду столового, кухонного інвентарю, миючих засобів.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98,65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A91A5A">
              <w:rPr>
                <w:i/>
                <w:color w:val="000000"/>
                <w:sz w:val="24"/>
                <w:szCs w:val="24"/>
              </w:rPr>
              <w:t>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2,02</w:t>
            </w:r>
          </w:p>
        </w:tc>
      </w:tr>
      <w:tr w:rsidR="0074026E" w:rsidRPr="00A91A5A" w:rsidTr="0074026E">
        <w:trPr>
          <w:trHeight w:val="5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35D03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Інші матеріальні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4,3</w:t>
            </w:r>
            <w:r w:rsidR="0041086E">
              <w:rPr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i/>
                <w:color w:val="000000"/>
                <w:sz w:val="24"/>
                <w:szCs w:val="24"/>
                <w:lang w:val="uk-UA"/>
              </w:rPr>
              <w:t>12,09</w:t>
            </w:r>
          </w:p>
        </w:tc>
      </w:tr>
      <w:tr w:rsidR="0074026E" w:rsidRPr="00A91A5A" w:rsidTr="0074026E">
        <w:trPr>
          <w:trHeight w:val="5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86781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2. Витрати на придбання сировини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A91A5A">
              <w:rPr>
                <w:sz w:val="24"/>
                <w:szCs w:val="24"/>
                <w:lang w:val="uk-UA"/>
              </w:rPr>
              <w:t>5465,55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66,73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4885,00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580,55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11,88</w:t>
            </w:r>
          </w:p>
        </w:tc>
      </w:tr>
      <w:tr w:rsidR="0074026E" w:rsidRPr="00A91A5A" w:rsidTr="00B36591">
        <w:trPr>
          <w:trHeight w:val="2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867812">
            <w:pPr>
              <w:jc w:val="both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3.Фонд оплати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sz w:val="24"/>
                <w:szCs w:val="24"/>
              </w:rPr>
              <w:t>1842,40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1591,50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67,56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250,90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15,77</w:t>
            </w:r>
          </w:p>
        </w:tc>
      </w:tr>
      <w:tr w:rsidR="0074026E" w:rsidRPr="00A91A5A" w:rsidTr="0074026E">
        <w:trPr>
          <w:trHeight w:val="5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867812">
            <w:pPr>
              <w:jc w:val="both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4.Нарахування на заробітну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 w:firstLine="14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413,87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362,50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14,17</w:t>
            </w:r>
          </w:p>
        </w:tc>
      </w:tr>
      <w:tr w:rsidR="0074026E" w:rsidRPr="00A91A5A" w:rsidTr="0074026E">
        <w:trPr>
          <w:trHeight w:val="5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867812">
            <w:pPr>
              <w:jc w:val="both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5.Амортизаційні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28,66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96,82</w:t>
            </w:r>
          </w:p>
        </w:tc>
      </w:tr>
      <w:tr w:rsidR="0074026E" w:rsidRPr="00A91A5A" w:rsidTr="00B36591">
        <w:trPr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867812">
            <w:pPr>
              <w:jc w:val="both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6.</w:t>
            </w:r>
            <w:bookmarkStart w:id="0" w:name="OLE_LINK1"/>
            <w:r w:rsidRPr="00A91A5A">
              <w:rPr>
                <w:color w:val="000000"/>
                <w:sz w:val="24"/>
                <w:szCs w:val="24"/>
                <w:lang w:val="uk-UA"/>
              </w:rPr>
              <w:t>Інші операційні витрати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106,81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91A5A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A91A5A" w:rsidRDefault="0074026E" w:rsidP="00A91A5A">
            <w:pPr>
              <w:ind w:left="-109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26E" w:rsidRPr="00A91A5A" w:rsidRDefault="0074026E" w:rsidP="00A91A5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1A5A">
              <w:rPr>
                <w:color w:val="000000"/>
                <w:sz w:val="24"/>
                <w:szCs w:val="24"/>
                <w:lang w:val="uk-UA"/>
              </w:rPr>
              <w:t>5,02</w:t>
            </w:r>
          </w:p>
        </w:tc>
      </w:tr>
      <w:tr w:rsidR="0074026E" w:rsidRPr="004B259E" w:rsidTr="0074026E">
        <w:trPr>
          <w:trHeight w:val="3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A91A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B259E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E51388" w:rsidRDefault="0074026E" w:rsidP="00A91A5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8190,20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A91A5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B259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E51388" w:rsidRDefault="0074026E" w:rsidP="00A91A5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7222,90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4B259E" w:rsidRDefault="0074026E" w:rsidP="00A91A5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B259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6E" w:rsidRPr="00E51388" w:rsidRDefault="0074026E" w:rsidP="00A91A5A">
            <w:pPr>
              <w:ind w:left="-109" w:right="-106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967,30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026E" w:rsidRPr="00E51388" w:rsidRDefault="0074026E" w:rsidP="00A91A5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13,39</w:t>
            </w:r>
          </w:p>
        </w:tc>
      </w:tr>
    </w:tbl>
    <w:p w:rsidR="009D0EE7" w:rsidRPr="006D03CC" w:rsidRDefault="006D03CC" w:rsidP="006D03CC">
      <w:pPr>
        <w:ind w:firstLine="708"/>
        <w:jc w:val="right"/>
        <w:rPr>
          <w:lang w:val="uk-UA"/>
        </w:rPr>
      </w:pPr>
      <w:r w:rsidRPr="006D03CC">
        <w:rPr>
          <w:lang w:val="uk-UA"/>
        </w:rPr>
        <w:lastRenderedPageBreak/>
        <w:t>Діаграма 2</w:t>
      </w:r>
    </w:p>
    <w:p w:rsidR="006D03CC" w:rsidRDefault="00A35D03" w:rsidP="00CF4E7B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5924550" cy="2838091"/>
            <wp:effectExtent l="19050" t="0" r="19050" b="35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4E7B" w:rsidRDefault="00CF4E7B" w:rsidP="00BA10B6">
      <w:pPr>
        <w:ind w:firstLine="708"/>
        <w:jc w:val="both"/>
        <w:rPr>
          <w:lang w:val="uk-UA"/>
        </w:rPr>
      </w:pPr>
    </w:p>
    <w:p w:rsidR="00CF4E7B" w:rsidRDefault="00CF4E7B" w:rsidP="006D03CC">
      <w:pPr>
        <w:ind w:firstLine="708"/>
        <w:jc w:val="right"/>
        <w:rPr>
          <w:lang w:val="uk-UA"/>
        </w:rPr>
      </w:pPr>
    </w:p>
    <w:p w:rsidR="006D03CC" w:rsidRDefault="006D03CC" w:rsidP="006D03CC">
      <w:pPr>
        <w:ind w:firstLine="708"/>
        <w:jc w:val="right"/>
        <w:rPr>
          <w:lang w:val="uk-UA"/>
        </w:rPr>
      </w:pPr>
      <w:r>
        <w:rPr>
          <w:lang w:val="uk-UA"/>
        </w:rPr>
        <w:t>Діаграма 3.</w:t>
      </w:r>
    </w:p>
    <w:p w:rsidR="00CF4E7B" w:rsidRPr="00981BC2" w:rsidRDefault="006D03CC" w:rsidP="006D03CC">
      <w:pPr>
        <w:ind w:firstLine="708"/>
        <w:jc w:val="center"/>
        <w:rPr>
          <w:b/>
          <w:lang w:val="uk-UA"/>
        </w:rPr>
      </w:pPr>
      <w:r w:rsidRPr="00981BC2">
        <w:rPr>
          <w:b/>
          <w:lang w:val="uk-UA"/>
        </w:rPr>
        <w:t xml:space="preserve">Динаміка витрат КПШХ «Мрія» ОМР </w:t>
      </w:r>
    </w:p>
    <w:p w:rsidR="006D03CC" w:rsidRPr="00981BC2" w:rsidRDefault="006D03CC" w:rsidP="006D03CC">
      <w:pPr>
        <w:ind w:firstLine="708"/>
        <w:jc w:val="center"/>
        <w:rPr>
          <w:b/>
          <w:lang w:val="uk-UA"/>
        </w:rPr>
      </w:pPr>
      <w:r w:rsidRPr="00981BC2">
        <w:rPr>
          <w:b/>
          <w:lang w:val="uk-UA"/>
        </w:rPr>
        <w:t>за 9 міс</w:t>
      </w:r>
      <w:r w:rsidR="00CF4E7B" w:rsidRPr="00981BC2">
        <w:rPr>
          <w:b/>
          <w:lang w:val="uk-UA"/>
        </w:rPr>
        <w:t xml:space="preserve">яців </w:t>
      </w:r>
      <w:r w:rsidRPr="00981BC2">
        <w:rPr>
          <w:b/>
          <w:lang w:val="uk-UA"/>
        </w:rPr>
        <w:t xml:space="preserve"> 2019 р</w:t>
      </w:r>
      <w:r w:rsidR="00CF4E7B" w:rsidRPr="00981BC2">
        <w:rPr>
          <w:b/>
          <w:lang w:val="uk-UA"/>
        </w:rPr>
        <w:t>оку</w:t>
      </w:r>
      <w:r w:rsidRPr="00981BC2">
        <w:rPr>
          <w:b/>
          <w:lang w:val="uk-UA"/>
        </w:rPr>
        <w:t xml:space="preserve"> та 9 міс</w:t>
      </w:r>
      <w:r w:rsidR="00CF4E7B" w:rsidRPr="00981BC2">
        <w:rPr>
          <w:b/>
          <w:lang w:val="uk-UA"/>
        </w:rPr>
        <w:t>яців</w:t>
      </w:r>
      <w:r w:rsidRPr="00981BC2">
        <w:rPr>
          <w:b/>
          <w:lang w:val="uk-UA"/>
        </w:rPr>
        <w:t xml:space="preserve"> 2018 </w:t>
      </w:r>
      <w:r w:rsidR="00CF4E7B" w:rsidRPr="00981BC2">
        <w:rPr>
          <w:b/>
          <w:lang w:val="uk-UA"/>
        </w:rPr>
        <w:t>року</w:t>
      </w:r>
    </w:p>
    <w:p w:rsidR="00CF7D08" w:rsidRPr="00B858B6" w:rsidRDefault="00B858B6" w:rsidP="00B858B6">
      <w:pPr>
        <w:ind w:firstLine="708"/>
        <w:jc w:val="right"/>
        <w:rPr>
          <w:sz w:val="22"/>
          <w:szCs w:val="22"/>
          <w:lang w:val="uk-UA"/>
        </w:rPr>
      </w:pPr>
      <w:r w:rsidRPr="00B858B6">
        <w:rPr>
          <w:sz w:val="22"/>
          <w:szCs w:val="22"/>
          <w:lang w:val="uk-UA"/>
        </w:rPr>
        <w:t>(</w:t>
      </w:r>
      <w:proofErr w:type="spellStart"/>
      <w:r w:rsidRPr="00B858B6">
        <w:rPr>
          <w:sz w:val="22"/>
          <w:szCs w:val="22"/>
          <w:lang w:val="uk-UA"/>
        </w:rPr>
        <w:t>тис.грн</w:t>
      </w:r>
      <w:proofErr w:type="spellEnd"/>
      <w:r w:rsidRPr="00B858B6">
        <w:rPr>
          <w:sz w:val="22"/>
          <w:szCs w:val="22"/>
          <w:lang w:val="uk-UA"/>
        </w:rPr>
        <w:t>.)</w:t>
      </w:r>
    </w:p>
    <w:p w:rsidR="006D03CC" w:rsidRDefault="00CB11A8" w:rsidP="00AF4CE8">
      <w:pPr>
        <w:jc w:val="center"/>
        <w:rPr>
          <w:lang w:val="uk-UA"/>
        </w:rPr>
      </w:pPr>
      <w:bookmarkStart w:id="1" w:name="_GoBack"/>
      <w:r>
        <w:rPr>
          <w:noProof/>
        </w:rPr>
        <w:drawing>
          <wp:inline distT="0" distB="0" distL="0" distR="0">
            <wp:extent cx="5932000" cy="4722125"/>
            <wp:effectExtent l="0" t="0" r="0" b="254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1"/>
    </w:p>
    <w:p w:rsidR="007C2C50" w:rsidRDefault="005F39A4" w:rsidP="007C2C50">
      <w:pPr>
        <w:jc w:val="both"/>
        <w:rPr>
          <w:lang w:val="uk-UA"/>
        </w:rPr>
      </w:pPr>
      <w:r>
        <w:rPr>
          <w:lang w:val="uk-UA"/>
        </w:rPr>
        <w:lastRenderedPageBreak/>
        <w:tab/>
      </w:r>
      <w:r w:rsidR="00D315BE">
        <w:rPr>
          <w:lang w:val="uk-UA"/>
        </w:rPr>
        <w:t>23</w:t>
      </w:r>
      <w:r w:rsidR="007C2C50">
        <w:rPr>
          <w:lang w:val="uk-UA"/>
        </w:rPr>
        <w:t xml:space="preserve"> квітн</w:t>
      </w:r>
      <w:r w:rsidR="007500F8">
        <w:rPr>
          <w:lang w:val="uk-UA"/>
        </w:rPr>
        <w:t>я</w:t>
      </w:r>
      <w:r w:rsidR="007C2C50">
        <w:rPr>
          <w:lang w:val="uk-UA"/>
        </w:rPr>
        <w:t xml:space="preserve"> 2019 року рішеннями сесії Охтирської міської ради № 1533-МР «Про затвердження Статуту комунального підприємства шкільного харчування «Мрія» Охтирської міської ради» та № 1534-МР «Про внесення змін до Програми «Удосконалення системи організації харчування у навчально-виховних закладах м. Охтирка на 2016-2020 роки» </w:t>
      </w:r>
      <w:r w:rsidR="00BB656F" w:rsidRPr="007C2C50">
        <w:rPr>
          <w:lang w:val="uk-UA"/>
        </w:rPr>
        <w:t xml:space="preserve">підприємству </w:t>
      </w:r>
      <w:r w:rsidR="007C2C50">
        <w:rPr>
          <w:lang w:val="uk-UA"/>
        </w:rPr>
        <w:t>були виділені кошти для</w:t>
      </w:r>
      <w:r w:rsidR="00BB656F" w:rsidRPr="007C2C50">
        <w:rPr>
          <w:lang w:val="uk-UA"/>
        </w:rPr>
        <w:t xml:space="preserve"> поповнення статутного фонду </w:t>
      </w:r>
      <w:r w:rsidR="007C2C50">
        <w:rPr>
          <w:lang w:val="uk-UA"/>
        </w:rPr>
        <w:t xml:space="preserve">в розмірі 400 </w:t>
      </w:r>
      <w:proofErr w:type="spellStart"/>
      <w:r w:rsidR="007C2C50">
        <w:rPr>
          <w:lang w:val="uk-UA"/>
        </w:rPr>
        <w:t>тис.грн</w:t>
      </w:r>
      <w:proofErr w:type="spellEnd"/>
      <w:r w:rsidR="007C2C50">
        <w:rPr>
          <w:lang w:val="uk-UA"/>
        </w:rPr>
        <w:t>., які були використані для капітального</w:t>
      </w:r>
      <w:r w:rsidR="00BB656F" w:rsidRPr="007C2C50">
        <w:rPr>
          <w:lang w:val="uk-UA"/>
        </w:rPr>
        <w:t xml:space="preserve"> ремонт</w:t>
      </w:r>
      <w:r w:rsidR="007C2C50">
        <w:rPr>
          <w:lang w:val="uk-UA"/>
        </w:rPr>
        <w:t>у</w:t>
      </w:r>
      <w:r w:rsidR="00BB656F" w:rsidRPr="007C2C50">
        <w:rPr>
          <w:lang w:val="uk-UA"/>
        </w:rPr>
        <w:t xml:space="preserve"> покрівлі даху підприємства</w:t>
      </w:r>
      <w:r w:rsidR="00E64532" w:rsidRPr="007C2C50">
        <w:rPr>
          <w:lang w:val="uk-UA"/>
        </w:rPr>
        <w:t>, а</w:t>
      </w:r>
      <w:r w:rsidR="00BB656F" w:rsidRPr="007C2C50">
        <w:rPr>
          <w:lang w:val="uk-UA"/>
        </w:rPr>
        <w:t xml:space="preserve"> та</w:t>
      </w:r>
      <w:r w:rsidR="00E64532" w:rsidRPr="007C2C50">
        <w:rPr>
          <w:lang w:val="uk-UA"/>
        </w:rPr>
        <w:t>кож</w:t>
      </w:r>
      <w:r w:rsidR="00981BC2">
        <w:rPr>
          <w:lang w:val="uk-UA"/>
        </w:rPr>
        <w:t xml:space="preserve"> встановленн</w:t>
      </w:r>
      <w:r w:rsidR="007C2C50">
        <w:rPr>
          <w:lang w:val="uk-UA"/>
        </w:rPr>
        <w:t>я металопластикових вікон</w:t>
      </w:r>
      <w:r w:rsidR="00BB656F" w:rsidRPr="007C2C50">
        <w:rPr>
          <w:lang w:val="uk-UA"/>
        </w:rPr>
        <w:t xml:space="preserve"> та двер</w:t>
      </w:r>
      <w:r w:rsidR="007C2C50">
        <w:rPr>
          <w:lang w:val="uk-UA"/>
        </w:rPr>
        <w:t>ей</w:t>
      </w:r>
      <w:r w:rsidR="00BB656F" w:rsidRPr="007C2C50">
        <w:rPr>
          <w:lang w:val="uk-UA"/>
        </w:rPr>
        <w:t xml:space="preserve"> в приміще</w:t>
      </w:r>
      <w:r w:rsidR="00B1088C" w:rsidRPr="007C2C50">
        <w:rPr>
          <w:lang w:val="uk-UA"/>
        </w:rPr>
        <w:t>нні.</w:t>
      </w:r>
    </w:p>
    <w:p w:rsidR="00981BC2" w:rsidRPr="007C2C50" w:rsidRDefault="00981BC2" w:rsidP="007C2C50">
      <w:pPr>
        <w:jc w:val="both"/>
        <w:rPr>
          <w:lang w:val="uk-UA"/>
        </w:rPr>
      </w:pPr>
      <w:r>
        <w:rPr>
          <w:lang w:val="uk-UA"/>
        </w:rPr>
        <w:tab/>
        <w:t>За власний кошт</w:t>
      </w:r>
      <w:r w:rsidR="006F2CCB">
        <w:rPr>
          <w:lang w:val="uk-UA"/>
        </w:rPr>
        <w:t>,</w:t>
      </w:r>
      <w:r>
        <w:rPr>
          <w:lang w:val="uk-UA"/>
        </w:rPr>
        <w:t xml:space="preserve"> на з</w:t>
      </w:r>
      <w:r w:rsidR="002C76C2">
        <w:rPr>
          <w:lang w:val="uk-UA"/>
        </w:rPr>
        <w:t>агальну суму 61,2</w:t>
      </w:r>
      <w:r w:rsidR="006F2CCB">
        <w:rPr>
          <w:lang w:val="uk-UA"/>
        </w:rPr>
        <w:t>0</w:t>
      </w:r>
      <w:r w:rsidR="002C76C2">
        <w:rPr>
          <w:lang w:val="uk-UA"/>
        </w:rPr>
        <w:t xml:space="preserve"> тис.</w:t>
      </w:r>
      <w:r w:rsidR="00AF4CE8">
        <w:rPr>
          <w:lang w:val="uk-UA"/>
        </w:rPr>
        <w:t xml:space="preserve"> </w:t>
      </w:r>
      <w:r w:rsidR="002C76C2">
        <w:rPr>
          <w:lang w:val="uk-UA"/>
        </w:rPr>
        <w:t>грн.</w:t>
      </w:r>
      <w:r w:rsidR="006F2CCB">
        <w:rPr>
          <w:lang w:val="uk-UA"/>
        </w:rPr>
        <w:t>,</w:t>
      </w:r>
      <w:r w:rsidR="002C76C2" w:rsidRPr="002C76C2">
        <w:rPr>
          <w:lang w:val="uk-UA"/>
        </w:rPr>
        <w:t xml:space="preserve"> </w:t>
      </w:r>
      <w:r w:rsidR="006F2CCB">
        <w:rPr>
          <w:lang w:val="uk-UA"/>
        </w:rPr>
        <w:t>підприємство</w:t>
      </w:r>
      <w:r w:rsidR="002C76C2">
        <w:rPr>
          <w:lang w:val="uk-UA"/>
        </w:rPr>
        <w:t xml:space="preserve"> здійснило:</w:t>
      </w:r>
    </w:p>
    <w:p w:rsidR="00BB656F" w:rsidRDefault="00BB656F" w:rsidP="00BB656F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поточний ремонт коридорних приміщень та </w:t>
      </w:r>
      <w:r w:rsidR="002C76C2">
        <w:rPr>
          <w:lang w:val="uk-UA"/>
        </w:rPr>
        <w:t>приміщення гарячого цеху;</w:t>
      </w:r>
    </w:p>
    <w:p w:rsidR="00B1088C" w:rsidRDefault="002C76C2" w:rsidP="00BB656F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реконструкцію та </w:t>
      </w:r>
      <w:proofErr w:type="spellStart"/>
      <w:r>
        <w:rPr>
          <w:lang w:val="uk-UA"/>
        </w:rPr>
        <w:t>укомплектацію</w:t>
      </w:r>
      <w:proofErr w:type="spellEnd"/>
      <w:r w:rsidR="006F2CCB">
        <w:rPr>
          <w:lang w:val="uk-UA"/>
        </w:rPr>
        <w:t xml:space="preserve"> зонтами витяжної системи </w:t>
      </w:r>
      <w:r w:rsidR="00ED62D7">
        <w:rPr>
          <w:lang w:val="uk-UA"/>
        </w:rPr>
        <w:t>у виробничому приміщенні</w:t>
      </w:r>
      <w:r w:rsidR="006F2CCB">
        <w:rPr>
          <w:lang w:val="uk-UA"/>
        </w:rPr>
        <w:t>;</w:t>
      </w:r>
    </w:p>
    <w:p w:rsidR="00B1088C" w:rsidRDefault="006F2CCB" w:rsidP="00BB656F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придбання додаткового</w:t>
      </w:r>
      <w:r w:rsidR="0057186F">
        <w:rPr>
          <w:lang w:val="uk-UA"/>
        </w:rPr>
        <w:t xml:space="preserve"> бойлер</w:t>
      </w:r>
      <w:r>
        <w:rPr>
          <w:lang w:val="uk-UA"/>
        </w:rPr>
        <w:t>а</w:t>
      </w:r>
      <w:r w:rsidR="0057186F">
        <w:rPr>
          <w:lang w:val="uk-UA"/>
        </w:rPr>
        <w:t xml:space="preserve"> ємністю 100 л</w:t>
      </w:r>
      <w:r w:rsidR="00E64532">
        <w:rPr>
          <w:lang w:val="uk-UA"/>
        </w:rPr>
        <w:t xml:space="preserve"> </w:t>
      </w:r>
      <w:r w:rsidR="0057186F">
        <w:rPr>
          <w:lang w:val="uk-UA"/>
        </w:rPr>
        <w:t>для</w:t>
      </w:r>
      <w:r w:rsidR="00E64532">
        <w:rPr>
          <w:lang w:val="uk-UA"/>
        </w:rPr>
        <w:t xml:space="preserve"> </w:t>
      </w:r>
      <w:r w:rsidR="0057186F">
        <w:rPr>
          <w:lang w:val="uk-UA"/>
        </w:rPr>
        <w:t>безперебійного забезпечення виробництва гарячою</w:t>
      </w:r>
      <w:r w:rsidR="00CB0917">
        <w:rPr>
          <w:lang w:val="uk-UA"/>
        </w:rPr>
        <w:t xml:space="preserve"> вод</w:t>
      </w:r>
      <w:r w:rsidR="0057186F">
        <w:rPr>
          <w:lang w:val="uk-UA"/>
        </w:rPr>
        <w:t>ою</w:t>
      </w:r>
      <w:r>
        <w:rPr>
          <w:lang w:val="uk-UA"/>
        </w:rPr>
        <w:t>;</w:t>
      </w:r>
    </w:p>
    <w:p w:rsidR="00BF310A" w:rsidRDefault="006F2CCB" w:rsidP="00D315BE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заміну аварійної</w:t>
      </w:r>
      <w:r w:rsidR="00CB0917">
        <w:rPr>
          <w:lang w:val="uk-UA"/>
        </w:rPr>
        <w:t xml:space="preserve"> </w:t>
      </w:r>
      <w:r>
        <w:rPr>
          <w:lang w:val="uk-UA"/>
        </w:rPr>
        <w:t>підвісної</w:t>
      </w:r>
      <w:r w:rsidR="002E7286">
        <w:rPr>
          <w:lang w:val="uk-UA"/>
        </w:rPr>
        <w:t xml:space="preserve"> </w:t>
      </w:r>
      <w:r>
        <w:rPr>
          <w:lang w:val="uk-UA"/>
        </w:rPr>
        <w:t>системи</w:t>
      </w:r>
      <w:r w:rsidR="00CB0917">
        <w:rPr>
          <w:lang w:val="uk-UA"/>
        </w:rPr>
        <w:t xml:space="preserve"> «</w:t>
      </w:r>
      <w:proofErr w:type="spellStart"/>
      <w:r w:rsidR="00CB0917">
        <w:rPr>
          <w:lang w:val="uk-UA"/>
        </w:rPr>
        <w:t>Армстронг</w:t>
      </w:r>
      <w:proofErr w:type="spellEnd"/>
      <w:r w:rsidR="00CB0917">
        <w:rPr>
          <w:lang w:val="uk-UA"/>
        </w:rPr>
        <w:t>»</w:t>
      </w:r>
      <w:r w:rsidR="002C76C2">
        <w:rPr>
          <w:lang w:val="uk-UA"/>
        </w:rPr>
        <w:t xml:space="preserve"> на натяжну стелю</w:t>
      </w:r>
      <w:r w:rsidR="00AF4CE8">
        <w:rPr>
          <w:lang w:val="uk-UA"/>
        </w:rPr>
        <w:t>, а</w:t>
      </w:r>
      <w:r>
        <w:rPr>
          <w:lang w:val="uk-UA"/>
        </w:rPr>
        <w:t xml:space="preserve"> та</w:t>
      </w:r>
      <w:r w:rsidR="00AF4CE8">
        <w:rPr>
          <w:lang w:val="uk-UA"/>
        </w:rPr>
        <w:t>кож здійснило</w:t>
      </w:r>
      <w:r>
        <w:rPr>
          <w:lang w:val="uk-UA"/>
        </w:rPr>
        <w:t xml:space="preserve"> поточний ремонт в обідній залі.</w:t>
      </w:r>
    </w:p>
    <w:p w:rsidR="006F2CCB" w:rsidRPr="00D315BE" w:rsidRDefault="006F2CCB" w:rsidP="006F2CCB">
      <w:pPr>
        <w:pStyle w:val="a9"/>
        <w:jc w:val="both"/>
        <w:rPr>
          <w:lang w:val="uk-UA"/>
        </w:rPr>
      </w:pPr>
    </w:p>
    <w:p w:rsidR="0074026E" w:rsidRDefault="00D1536B" w:rsidP="00BF310A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732736" w:rsidRPr="0041086E">
        <w:rPr>
          <w:b/>
          <w:lang w:val="en-US"/>
        </w:rPr>
        <w:t>V</w:t>
      </w:r>
      <w:r w:rsidR="00732736" w:rsidRPr="00D315BE">
        <w:rPr>
          <w:b/>
          <w:lang w:val="uk-UA"/>
        </w:rPr>
        <w:t>. ВУЗЬ</w:t>
      </w:r>
      <w:r w:rsidR="0041086E" w:rsidRPr="0041086E">
        <w:rPr>
          <w:b/>
          <w:lang w:val="uk-UA"/>
        </w:rPr>
        <w:t>КІ</w:t>
      </w:r>
      <w:r w:rsidR="0041086E" w:rsidRPr="00D315BE">
        <w:rPr>
          <w:b/>
          <w:lang w:val="uk-UA"/>
        </w:rPr>
        <w:t xml:space="preserve"> М</w:t>
      </w:r>
      <w:r w:rsidR="0041086E" w:rsidRPr="0041086E">
        <w:rPr>
          <w:b/>
          <w:lang w:val="uk-UA"/>
        </w:rPr>
        <w:t>І</w:t>
      </w:r>
      <w:r w:rsidR="00732736" w:rsidRPr="00D315BE">
        <w:rPr>
          <w:b/>
          <w:lang w:val="uk-UA"/>
        </w:rPr>
        <w:t>СЦЯ</w:t>
      </w:r>
    </w:p>
    <w:p w:rsidR="0057186F" w:rsidRDefault="00D315BE" w:rsidP="00D315BE">
      <w:pPr>
        <w:jc w:val="both"/>
        <w:rPr>
          <w:lang w:val="uk-UA"/>
        </w:rPr>
      </w:pPr>
      <w:r>
        <w:rPr>
          <w:b/>
          <w:lang w:val="uk-UA"/>
        </w:rPr>
        <w:tab/>
      </w:r>
      <w:r w:rsidR="00A13818" w:rsidRPr="00A13818">
        <w:rPr>
          <w:lang w:val="uk-UA"/>
        </w:rPr>
        <w:t>Загальними проблемами, які не дозволяють</w:t>
      </w:r>
      <w:r w:rsidR="00A13818">
        <w:rPr>
          <w:lang w:val="uk-UA"/>
        </w:rPr>
        <w:t xml:space="preserve"> підприємству</w:t>
      </w:r>
      <w:r w:rsidR="00A13818" w:rsidRPr="00A13818">
        <w:rPr>
          <w:lang w:val="uk-UA"/>
        </w:rPr>
        <w:t xml:space="preserve"> збільшити товарообіг, </w:t>
      </w:r>
      <w:r w:rsidR="00A13818">
        <w:rPr>
          <w:lang w:val="uk-UA"/>
        </w:rPr>
        <w:t>розвиватися та бути конкурентоспроможними є:</w:t>
      </w:r>
    </w:p>
    <w:p w:rsidR="00A13818" w:rsidRDefault="00A13818" w:rsidP="00A13818">
      <w:pPr>
        <w:pStyle w:val="a9"/>
        <w:numPr>
          <w:ilvl w:val="0"/>
          <w:numId w:val="2"/>
        </w:numPr>
        <w:ind w:left="426"/>
        <w:jc w:val="both"/>
        <w:rPr>
          <w:lang w:val="uk-UA"/>
        </w:rPr>
      </w:pPr>
      <w:r w:rsidRPr="00A13818">
        <w:rPr>
          <w:lang w:val="uk-UA"/>
        </w:rPr>
        <w:t>фізично та морально застаріла матеріально-технічна база, що не дозволяє збільшити випуск продукції власного виробництва;</w:t>
      </w:r>
    </w:p>
    <w:p w:rsidR="00A13818" w:rsidRDefault="002C74F3" w:rsidP="00A13818">
      <w:pPr>
        <w:pStyle w:val="a9"/>
        <w:numPr>
          <w:ilvl w:val="0"/>
          <w:numId w:val="2"/>
        </w:numPr>
        <w:ind w:left="426"/>
        <w:jc w:val="both"/>
        <w:rPr>
          <w:lang w:val="uk-UA"/>
        </w:rPr>
      </w:pPr>
      <w:r>
        <w:rPr>
          <w:lang w:val="uk-UA"/>
        </w:rPr>
        <w:t xml:space="preserve"> стан виробничих приміщень, які були введені в  експлуатацію в 1987 році не відповідають</w:t>
      </w:r>
      <w:r w:rsidR="003D0358">
        <w:rPr>
          <w:lang w:val="uk-UA"/>
        </w:rPr>
        <w:t xml:space="preserve"> сучасним вимогам</w:t>
      </w:r>
      <w:r>
        <w:rPr>
          <w:lang w:val="uk-UA"/>
        </w:rPr>
        <w:t xml:space="preserve"> </w:t>
      </w:r>
      <w:r w:rsidR="00937E92">
        <w:rPr>
          <w:lang w:val="uk-UA"/>
        </w:rPr>
        <w:t>та потребують капітального ремонту;</w:t>
      </w:r>
    </w:p>
    <w:p w:rsidR="00937E92" w:rsidRDefault="00937E92" w:rsidP="00A13818">
      <w:pPr>
        <w:pStyle w:val="a9"/>
        <w:numPr>
          <w:ilvl w:val="0"/>
          <w:numId w:val="2"/>
        </w:numPr>
        <w:ind w:left="426"/>
        <w:jc w:val="both"/>
        <w:rPr>
          <w:lang w:val="uk-UA"/>
        </w:rPr>
      </w:pPr>
      <w:r>
        <w:rPr>
          <w:lang w:val="uk-UA"/>
        </w:rPr>
        <w:t>система електричного опалення потребує реконструкції</w:t>
      </w:r>
      <w:r w:rsidR="00CB37D9">
        <w:rPr>
          <w:lang w:val="uk-UA"/>
        </w:rPr>
        <w:t>,</w:t>
      </w:r>
      <w:r>
        <w:rPr>
          <w:lang w:val="uk-UA"/>
        </w:rPr>
        <w:t xml:space="preserve"> так як не забезпечує відповідний мікроклімат в приміщенні;</w:t>
      </w:r>
    </w:p>
    <w:p w:rsidR="00937E92" w:rsidRPr="00A13818" w:rsidRDefault="00CB37D9" w:rsidP="00A13818">
      <w:pPr>
        <w:pStyle w:val="a9"/>
        <w:numPr>
          <w:ilvl w:val="0"/>
          <w:numId w:val="2"/>
        </w:numPr>
        <w:ind w:left="426"/>
        <w:jc w:val="both"/>
        <w:rPr>
          <w:lang w:val="uk-UA"/>
        </w:rPr>
      </w:pPr>
      <w:r>
        <w:rPr>
          <w:lang w:val="uk-UA"/>
        </w:rPr>
        <w:t>особливо вузьким місцем</w:t>
      </w:r>
      <w:r w:rsidR="00937E92">
        <w:rPr>
          <w:lang w:val="uk-UA"/>
        </w:rPr>
        <w:t xml:space="preserve"> є застарілий </w:t>
      </w:r>
      <w:r>
        <w:rPr>
          <w:lang w:val="uk-UA"/>
        </w:rPr>
        <w:t>автомобіль</w:t>
      </w:r>
      <w:r w:rsidR="00937E92">
        <w:rPr>
          <w:lang w:val="uk-UA"/>
        </w:rPr>
        <w:t xml:space="preserve">, </w:t>
      </w:r>
      <w:r>
        <w:rPr>
          <w:lang w:val="uk-UA"/>
        </w:rPr>
        <w:t>який постійно виходить з ладу</w:t>
      </w:r>
      <w:r w:rsidR="00D1536B">
        <w:rPr>
          <w:lang w:val="uk-UA"/>
        </w:rPr>
        <w:t>, чим ставить під загрозу виконання зобов’язань підприємства.</w:t>
      </w:r>
    </w:p>
    <w:p w:rsidR="00CB37D9" w:rsidRDefault="00AF4CE8" w:rsidP="007E7176">
      <w:pPr>
        <w:ind w:left="66" w:firstLine="360"/>
        <w:jc w:val="both"/>
        <w:rPr>
          <w:lang w:val="uk-UA"/>
        </w:rPr>
      </w:pPr>
      <w:r>
        <w:rPr>
          <w:lang w:val="uk-UA"/>
        </w:rPr>
        <w:t xml:space="preserve">На жаль, </w:t>
      </w:r>
      <w:r w:rsidR="00320F94">
        <w:rPr>
          <w:lang w:val="uk-UA"/>
        </w:rPr>
        <w:t>для</w:t>
      </w:r>
      <w:r>
        <w:rPr>
          <w:lang w:val="uk-UA"/>
        </w:rPr>
        <w:t xml:space="preserve"> </w:t>
      </w:r>
      <w:r w:rsidR="007555DA">
        <w:rPr>
          <w:lang w:val="uk-UA"/>
        </w:rPr>
        <w:t>приведення матеріально-</w:t>
      </w:r>
      <w:r w:rsidR="00320F94">
        <w:rPr>
          <w:lang w:val="uk-UA"/>
        </w:rPr>
        <w:t>технічної</w:t>
      </w:r>
      <w:r w:rsidR="007E7176">
        <w:rPr>
          <w:lang w:val="uk-UA"/>
        </w:rPr>
        <w:t xml:space="preserve"> баз</w:t>
      </w:r>
      <w:r w:rsidR="00320F94">
        <w:rPr>
          <w:lang w:val="uk-UA"/>
        </w:rPr>
        <w:t>и</w:t>
      </w:r>
      <w:r w:rsidR="007E7176">
        <w:rPr>
          <w:lang w:val="uk-UA"/>
        </w:rPr>
        <w:t xml:space="preserve"> підп</w:t>
      </w:r>
      <w:r w:rsidR="00D1536B">
        <w:rPr>
          <w:lang w:val="uk-UA"/>
        </w:rPr>
        <w:t xml:space="preserve">риємства до відповідного </w:t>
      </w:r>
      <w:r w:rsidR="00320F94">
        <w:rPr>
          <w:lang w:val="uk-UA"/>
        </w:rPr>
        <w:t>рівня потрібні значні капітальні вливання. Б</w:t>
      </w:r>
      <w:r w:rsidR="00D1536B">
        <w:rPr>
          <w:lang w:val="uk-UA"/>
        </w:rPr>
        <w:t xml:space="preserve">ез </w:t>
      </w:r>
      <w:r w:rsidR="003D0358">
        <w:rPr>
          <w:lang w:val="uk-UA"/>
        </w:rPr>
        <w:t xml:space="preserve">сторонньої </w:t>
      </w:r>
      <w:r w:rsidR="00D1536B">
        <w:rPr>
          <w:lang w:val="uk-UA"/>
        </w:rPr>
        <w:t>допомоги крок вперед не можливий.</w:t>
      </w:r>
    </w:p>
    <w:p w:rsidR="00AF4CE8" w:rsidRDefault="00D4709B" w:rsidP="007E7176">
      <w:pPr>
        <w:ind w:left="66" w:firstLine="360"/>
        <w:jc w:val="both"/>
        <w:rPr>
          <w:lang w:val="uk-UA"/>
        </w:rPr>
      </w:pPr>
      <w:r>
        <w:rPr>
          <w:lang w:val="uk-UA"/>
        </w:rPr>
        <w:t xml:space="preserve">Втім, у супереч ряду проблем, колектив комунального підприємства шкільного харчування «Мрія» Охтирської міської ради відданий справі, </w:t>
      </w:r>
      <w:proofErr w:type="spellStart"/>
      <w:r>
        <w:rPr>
          <w:lang w:val="uk-UA"/>
        </w:rPr>
        <w:t>відповідально</w:t>
      </w:r>
      <w:proofErr w:type="spellEnd"/>
      <w:r>
        <w:rPr>
          <w:lang w:val="uk-UA"/>
        </w:rPr>
        <w:t xml:space="preserve"> ставиться до забезпечення якісного,  пов</w:t>
      </w:r>
      <w:r w:rsidR="00E1321E">
        <w:rPr>
          <w:lang w:val="uk-UA"/>
        </w:rPr>
        <w:t xml:space="preserve">ноцінного харчування учнів, </w:t>
      </w:r>
      <w:proofErr w:type="spellStart"/>
      <w:r w:rsidR="00E1321E">
        <w:rPr>
          <w:lang w:val="uk-UA"/>
        </w:rPr>
        <w:t>ініціативно</w:t>
      </w:r>
      <w:proofErr w:type="spellEnd"/>
      <w:r w:rsidR="00E1321E">
        <w:rPr>
          <w:lang w:val="uk-UA"/>
        </w:rPr>
        <w:t xml:space="preserve"> сприймає всі нововведення  та прагне відповідати критеріям, які ставить держава перед операторами ринку харчових продуктів.</w:t>
      </w:r>
    </w:p>
    <w:p w:rsidR="00D1536B" w:rsidRDefault="00D1536B" w:rsidP="007E7176">
      <w:pPr>
        <w:ind w:left="66" w:firstLine="360"/>
        <w:jc w:val="both"/>
        <w:rPr>
          <w:lang w:val="uk-UA"/>
        </w:rPr>
      </w:pPr>
    </w:p>
    <w:p w:rsidR="003D0358" w:rsidRDefault="003D0358" w:rsidP="007E7176">
      <w:pPr>
        <w:ind w:left="66" w:firstLine="360"/>
        <w:jc w:val="both"/>
        <w:rPr>
          <w:lang w:val="uk-UA"/>
        </w:rPr>
      </w:pPr>
    </w:p>
    <w:p w:rsidR="00D1536B" w:rsidRPr="00D1536B" w:rsidRDefault="00D1536B" w:rsidP="007E7176">
      <w:pPr>
        <w:ind w:left="66" w:firstLine="360"/>
        <w:jc w:val="both"/>
        <w:rPr>
          <w:b/>
          <w:lang w:val="uk-UA"/>
        </w:rPr>
      </w:pPr>
      <w:r w:rsidRPr="00D1536B">
        <w:rPr>
          <w:b/>
          <w:lang w:val="uk-UA"/>
        </w:rPr>
        <w:t xml:space="preserve">Директор КПШХ «Мрія» ОМР </w:t>
      </w:r>
      <w:r w:rsidRPr="00D1536B">
        <w:rPr>
          <w:b/>
          <w:lang w:val="uk-UA"/>
        </w:rPr>
        <w:tab/>
      </w:r>
      <w:r w:rsidRPr="00D1536B">
        <w:rPr>
          <w:b/>
          <w:lang w:val="uk-UA"/>
        </w:rPr>
        <w:tab/>
      </w:r>
      <w:r w:rsidRPr="00D1536B">
        <w:rPr>
          <w:b/>
          <w:lang w:val="uk-UA"/>
        </w:rPr>
        <w:tab/>
      </w:r>
      <w:r w:rsidRPr="00D1536B">
        <w:rPr>
          <w:b/>
          <w:lang w:val="uk-UA"/>
        </w:rPr>
        <w:tab/>
        <w:t>Т. ЯРОШЕНКО</w:t>
      </w:r>
    </w:p>
    <w:sectPr w:rsidR="00D1536B" w:rsidRPr="00D1536B" w:rsidSect="00D304FE">
      <w:footerReference w:type="default" r:id="rId12"/>
      <w:pgSz w:w="11906" w:h="16838"/>
      <w:pgMar w:top="1134" w:right="851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CA" w:rsidRDefault="000B6ECA" w:rsidP="00D97B7E">
      <w:r>
        <w:separator/>
      </w:r>
    </w:p>
  </w:endnote>
  <w:endnote w:type="continuationSeparator" w:id="0">
    <w:p w:rsidR="000B6ECA" w:rsidRDefault="000B6ECA" w:rsidP="00D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DA" w:rsidRDefault="00115FDA">
    <w:pPr>
      <w:pStyle w:val="a6"/>
      <w:jc w:val="right"/>
    </w:pPr>
  </w:p>
  <w:p w:rsidR="00115FDA" w:rsidRDefault="00115F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CA" w:rsidRDefault="000B6ECA" w:rsidP="00D97B7E">
      <w:r>
        <w:separator/>
      </w:r>
    </w:p>
  </w:footnote>
  <w:footnote w:type="continuationSeparator" w:id="0">
    <w:p w:rsidR="000B6ECA" w:rsidRDefault="000B6ECA" w:rsidP="00D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637"/>
      </v:shape>
    </w:pict>
  </w:numPicBullet>
  <w:abstractNum w:abstractNumId="0">
    <w:nsid w:val="786517DD"/>
    <w:multiLevelType w:val="hybridMultilevel"/>
    <w:tmpl w:val="43F2EA16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E5B34EC"/>
    <w:multiLevelType w:val="hybridMultilevel"/>
    <w:tmpl w:val="12E433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509"/>
    <w:rsid w:val="0000588C"/>
    <w:rsid w:val="000070BE"/>
    <w:rsid w:val="000106D4"/>
    <w:rsid w:val="0001156E"/>
    <w:rsid w:val="00014B1C"/>
    <w:rsid w:val="00016410"/>
    <w:rsid w:val="00016FAF"/>
    <w:rsid w:val="000174E9"/>
    <w:rsid w:val="00024C75"/>
    <w:rsid w:val="00024FEA"/>
    <w:rsid w:val="00026286"/>
    <w:rsid w:val="00037215"/>
    <w:rsid w:val="0003763B"/>
    <w:rsid w:val="00040C3C"/>
    <w:rsid w:val="00041C59"/>
    <w:rsid w:val="00044C1B"/>
    <w:rsid w:val="000477BB"/>
    <w:rsid w:val="00052157"/>
    <w:rsid w:val="0005637A"/>
    <w:rsid w:val="00056E36"/>
    <w:rsid w:val="00057E78"/>
    <w:rsid w:val="0006589F"/>
    <w:rsid w:val="00070D19"/>
    <w:rsid w:val="000730A0"/>
    <w:rsid w:val="00073487"/>
    <w:rsid w:val="00076891"/>
    <w:rsid w:val="00083106"/>
    <w:rsid w:val="00083354"/>
    <w:rsid w:val="0008449D"/>
    <w:rsid w:val="00085509"/>
    <w:rsid w:val="00085F27"/>
    <w:rsid w:val="000862B8"/>
    <w:rsid w:val="0009158A"/>
    <w:rsid w:val="000922E4"/>
    <w:rsid w:val="00093F17"/>
    <w:rsid w:val="000969CA"/>
    <w:rsid w:val="000A327C"/>
    <w:rsid w:val="000B106D"/>
    <w:rsid w:val="000B2C13"/>
    <w:rsid w:val="000B6ECA"/>
    <w:rsid w:val="000C111D"/>
    <w:rsid w:val="000C2011"/>
    <w:rsid w:val="000D04FB"/>
    <w:rsid w:val="000D3F10"/>
    <w:rsid w:val="000D4B38"/>
    <w:rsid w:val="000E37AC"/>
    <w:rsid w:val="000F1F2C"/>
    <w:rsid w:val="000F22C1"/>
    <w:rsid w:val="000F3744"/>
    <w:rsid w:val="000F3EC0"/>
    <w:rsid w:val="00103707"/>
    <w:rsid w:val="00104383"/>
    <w:rsid w:val="00115FDA"/>
    <w:rsid w:val="0012028C"/>
    <w:rsid w:val="0012594B"/>
    <w:rsid w:val="0013213E"/>
    <w:rsid w:val="00132F07"/>
    <w:rsid w:val="00133EDF"/>
    <w:rsid w:val="00134191"/>
    <w:rsid w:val="00136DF6"/>
    <w:rsid w:val="00143CD5"/>
    <w:rsid w:val="00147CAF"/>
    <w:rsid w:val="00156182"/>
    <w:rsid w:val="001566A8"/>
    <w:rsid w:val="00156723"/>
    <w:rsid w:val="00156A69"/>
    <w:rsid w:val="00162612"/>
    <w:rsid w:val="001724EC"/>
    <w:rsid w:val="001738EF"/>
    <w:rsid w:val="00176734"/>
    <w:rsid w:val="0018298C"/>
    <w:rsid w:val="0019150C"/>
    <w:rsid w:val="0019591E"/>
    <w:rsid w:val="001A00AC"/>
    <w:rsid w:val="001A784E"/>
    <w:rsid w:val="001B07AB"/>
    <w:rsid w:val="001B14C2"/>
    <w:rsid w:val="001C0AE1"/>
    <w:rsid w:val="001C0FC9"/>
    <w:rsid w:val="001C4537"/>
    <w:rsid w:val="001D1CBD"/>
    <w:rsid w:val="001D1DED"/>
    <w:rsid w:val="001D753A"/>
    <w:rsid w:val="001E110D"/>
    <w:rsid w:val="001E66D1"/>
    <w:rsid w:val="001E735A"/>
    <w:rsid w:val="00203A4B"/>
    <w:rsid w:val="002040D0"/>
    <w:rsid w:val="00211DA0"/>
    <w:rsid w:val="00213C60"/>
    <w:rsid w:val="002140BC"/>
    <w:rsid w:val="00217070"/>
    <w:rsid w:val="002210B4"/>
    <w:rsid w:val="00227860"/>
    <w:rsid w:val="00227A82"/>
    <w:rsid w:val="00230476"/>
    <w:rsid w:val="00231B5E"/>
    <w:rsid w:val="0023395D"/>
    <w:rsid w:val="00236C56"/>
    <w:rsid w:val="002428C8"/>
    <w:rsid w:val="00246ABE"/>
    <w:rsid w:val="00261977"/>
    <w:rsid w:val="00265E30"/>
    <w:rsid w:val="00266A23"/>
    <w:rsid w:val="00287F2A"/>
    <w:rsid w:val="0029794C"/>
    <w:rsid w:val="002A3D88"/>
    <w:rsid w:val="002B48B5"/>
    <w:rsid w:val="002C60F2"/>
    <w:rsid w:val="002C74F3"/>
    <w:rsid w:val="002C76C2"/>
    <w:rsid w:val="002C7BF9"/>
    <w:rsid w:val="002E0C69"/>
    <w:rsid w:val="002E14A6"/>
    <w:rsid w:val="002E564B"/>
    <w:rsid w:val="002E6E75"/>
    <w:rsid w:val="002E7286"/>
    <w:rsid w:val="002F2922"/>
    <w:rsid w:val="002F472C"/>
    <w:rsid w:val="002F74CE"/>
    <w:rsid w:val="003015DC"/>
    <w:rsid w:val="0030786B"/>
    <w:rsid w:val="00320F94"/>
    <w:rsid w:val="003250BB"/>
    <w:rsid w:val="00334393"/>
    <w:rsid w:val="00343730"/>
    <w:rsid w:val="003573DC"/>
    <w:rsid w:val="00370CFD"/>
    <w:rsid w:val="00375A2E"/>
    <w:rsid w:val="00383031"/>
    <w:rsid w:val="00392FED"/>
    <w:rsid w:val="00394A36"/>
    <w:rsid w:val="0039553E"/>
    <w:rsid w:val="003B0738"/>
    <w:rsid w:val="003B487D"/>
    <w:rsid w:val="003C524A"/>
    <w:rsid w:val="003C6F54"/>
    <w:rsid w:val="003D0358"/>
    <w:rsid w:val="003E279D"/>
    <w:rsid w:val="003F274D"/>
    <w:rsid w:val="003F5F3E"/>
    <w:rsid w:val="003F7723"/>
    <w:rsid w:val="0041086E"/>
    <w:rsid w:val="00411A7C"/>
    <w:rsid w:val="00415537"/>
    <w:rsid w:val="00417852"/>
    <w:rsid w:val="00417D87"/>
    <w:rsid w:val="0042518A"/>
    <w:rsid w:val="00441224"/>
    <w:rsid w:val="0044447B"/>
    <w:rsid w:val="00457A96"/>
    <w:rsid w:val="0046445C"/>
    <w:rsid w:val="00470044"/>
    <w:rsid w:val="00470CFD"/>
    <w:rsid w:val="0049507E"/>
    <w:rsid w:val="00495B0A"/>
    <w:rsid w:val="004A191E"/>
    <w:rsid w:val="004A2351"/>
    <w:rsid w:val="004A3FC0"/>
    <w:rsid w:val="004B18A5"/>
    <w:rsid w:val="004B259E"/>
    <w:rsid w:val="004B3D45"/>
    <w:rsid w:val="004B5BE0"/>
    <w:rsid w:val="004B69D2"/>
    <w:rsid w:val="004C31B8"/>
    <w:rsid w:val="004C6706"/>
    <w:rsid w:val="004D0F79"/>
    <w:rsid w:val="004D1951"/>
    <w:rsid w:val="004D28E7"/>
    <w:rsid w:val="004E47FA"/>
    <w:rsid w:val="004E6CA9"/>
    <w:rsid w:val="004E7C15"/>
    <w:rsid w:val="004F1663"/>
    <w:rsid w:val="004F4099"/>
    <w:rsid w:val="004F7BF0"/>
    <w:rsid w:val="005002A0"/>
    <w:rsid w:val="00504D57"/>
    <w:rsid w:val="00514F34"/>
    <w:rsid w:val="0051656A"/>
    <w:rsid w:val="0051785F"/>
    <w:rsid w:val="00520005"/>
    <w:rsid w:val="00523A4D"/>
    <w:rsid w:val="00523D38"/>
    <w:rsid w:val="005268DF"/>
    <w:rsid w:val="00537AA5"/>
    <w:rsid w:val="00552017"/>
    <w:rsid w:val="00553724"/>
    <w:rsid w:val="005563EA"/>
    <w:rsid w:val="005617C5"/>
    <w:rsid w:val="0057186F"/>
    <w:rsid w:val="005722DA"/>
    <w:rsid w:val="0057588B"/>
    <w:rsid w:val="00593644"/>
    <w:rsid w:val="00593DBD"/>
    <w:rsid w:val="00595541"/>
    <w:rsid w:val="00596A26"/>
    <w:rsid w:val="005A2B22"/>
    <w:rsid w:val="005A63D4"/>
    <w:rsid w:val="005B5CD9"/>
    <w:rsid w:val="005C313D"/>
    <w:rsid w:val="005C6F15"/>
    <w:rsid w:val="005D50B7"/>
    <w:rsid w:val="005D7798"/>
    <w:rsid w:val="005E0929"/>
    <w:rsid w:val="005E2A91"/>
    <w:rsid w:val="005E59AA"/>
    <w:rsid w:val="005F296E"/>
    <w:rsid w:val="005F38C9"/>
    <w:rsid w:val="005F39A4"/>
    <w:rsid w:val="005F4534"/>
    <w:rsid w:val="00602794"/>
    <w:rsid w:val="0062076A"/>
    <w:rsid w:val="00632AA4"/>
    <w:rsid w:val="00632E0C"/>
    <w:rsid w:val="00633781"/>
    <w:rsid w:val="00651479"/>
    <w:rsid w:val="00653489"/>
    <w:rsid w:val="00661A26"/>
    <w:rsid w:val="006665CC"/>
    <w:rsid w:val="00683EFD"/>
    <w:rsid w:val="00690F4C"/>
    <w:rsid w:val="00693277"/>
    <w:rsid w:val="006A586A"/>
    <w:rsid w:val="006A6600"/>
    <w:rsid w:val="006A6943"/>
    <w:rsid w:val="006B1DFB"/>
    <w:rsid w:val="006B5177"/>
    <w:rsid w:val="006C120C"/>
    <w:rsid w:val="006D03CC"/>
    <w:rsid w:val="006D578A"/>
    <w:rsid w:val="006D746D"/>
    <w:rsid w:val="006E0A35"/>
    <w:rsid w:val="006E29F6"/>
    <w:rsid w:val="006F106F"/>
    <w:rsid w:val="006F2CCB"/>
    <w:rsid w:val="006F4D10"/>
    <w:rsid w:val="006F57F7"/>
    <w:rsid w:val="006F678C"/>
    <w:rsid w:val="006F79C2"/>
    <w:rsid w:val="00700EBA"/>
    <w:rsid w:val="00701274"/>
    <w:rsid w:val="007060DC"/>
    <w:rsid w:val="00711925"/>
    <w:rsid w:val="00720440"/>
    <w:rsid w:val="007241BE"/>
    <w:rsid w:val="00732736"/>
    <w:rsid w:val="007335C8"/>
    <w:rsid w:val="00733AA1"/>
    <w:rsid w:val="0073728E"/>
    <w:rsid w:val="0074026E"/>
    <w:rsid w:val="00741C84"/>
    <w:rsid w:val="0074336F"/>
    <w:rsid w:val="00743FE5"/>
    <w:rsid w:val="007500F8"/>
    <w:rsid w:val="00751598"/>
    <w:rsid w:val="007555DA"/>
    <w:rsid w:val="00760319"/>
    <w:rsid w:val="007740BD"/>
    <w:rsid w:val="00776149"/>
    <w:rsid w:val="00780464"/>
    <w:rsid w:val="00781DFE"/>
    <w:rsid w:val="00781F57"/>
    <w:rsid w:val="00787407"/>
    <w:rsid w:val="00795429"/>
    <w:rsid w:val="00796740"/>
    <w:rsid w:val="007A412D"/>
    <w:rsid w:val="007A4E13"/>
    <w:rsid w:val="007A7531"/>
    <w:rsid w:val="007B0B20"/>
    <w:rsid w:val="007B34C4"/>
    <w:rsid w:val="007B7D8C"/>
    <w:rsid w:val="007C0B90"/>
    <w:rsid w:val="007C2C50"/>
    <w:rsid w:val="007C3A11"/>
    <w:rsid w:val="007C72BB"/>
    <w:rsid w:val="007D07ED"/>
    <w:rsid w:val="007D295F"/>
    <w:rsid w:val="007E1573"/>
    <w:rsid w:val="007E7176"/>
    <w:rsid w:val="007E7AF7"/>
    <w:rsid w:val="007F3E28"/>
    <w:rsid w:val="007F7E55"/>
    <w:rsid w:val="00803B27"/>
    <w:rsid w:val="008061DB"/>
    <w:rsid w:val="00806252"/>
    <w:rsid w:val="0082660A"/>
    <w:rsid w:val="008324D8"/>
    <w:rsid w:val="00835468"/>
    <w:rsid w:val="00837FB8"/>
    <w:rsid w:val="00840296"/>
    <w:rsid w:val="00844DB5"/>
    <w:rsid w:val="00845A36"/>
    <w:rsid w:val="0084674F"/>
    <w:rsid w:val="00867812"/>
    <w:rsid w:val="00867B2E"/>
    <w:rsid w:val="00894F8F"/>
    <w:rsid w:val="008A0ECB"/>
    <w:rsid w:val="008A6288"/>
    <w:rsid w:val="008B16C0"/>
    <w:rsid w:val="008C4540"/>
    <w:rsid w:val="008D1803"/>
    <w:rsid w:val="008D2D58"/>
    <w:rsid w:val="008E5B25"/>
    <w:rsid w:val="008F0091"/>
    <w:rsid w:val="008F0553"/>
    <w:rsid w:val="008F0697"/>
    <w:rsid w:val="008F22C8"/>
    <w:rsid w:val="008F66B4"/>
    <w:rsid w:val="00904A22"/>
    <w:rsid w:val="00906F55"/>
    <w:rsid w:val="0091745F"/>
    <w:rsid w:val="00922CF5"/>
    <w:rsid w:val="00923188"/>
    <w:rsid w:val="009259BE"/>
    <w:rsid w:val="009262A5"/>
    <w:rsid w:val="00927F89"/>
    <w:rsid w:val="009326CB"/>
    <w:rsid w:val="00937E92"/>
    <w:rsid w:val="00952DE3"/>
    <w:rsid w:val="00953657"/>
    <w:rsid w:val="00954466"/>
    <w:rsid w:val="009610E3"/>
    <w:rsid w:val="00961AF6"/>
    <w:rsid w:val="009636E5"/>
    <w:rsid w:val="00965947"/>
    <w:rsid w:val="00971A2E"/>
    <w:rsid w:val="00971DDA"/>
    <w:rsid w:val="009730F6"/>
    <w:rsid w:val="00973B0C"/>
    <w:rsid w:val="00975FC0"/>
    <w:rsid w:val="00981BC2"/>
    <w:rsid w:val="00984B55"/>
    <w:rsid w:val="0099677C"/>
    <w:rsid w:val="009A0B2D"/>
    <w:rsid w:val="009B10A4"/>
    <w:rsid w:val="009B3A85"/>
    <w:rsid w:val="009B74EC"/>
    <w:rsid w:val="009B7534"/>
    <w:rsid w:val="009C1B80"/>
    <w:rsid w:val="009D0EE7"/>
    <w:rsid w:val="009D7CB0"/>
    <w:rsid w:val="009E056E"/>
    <w:rsid w:val="009E5718"/>
    <w:rsid w:val="009F5D39"/>
    <w:rsid w:val="009F7E9B"/>
    <w:rsid w:val="00A065A3"/>
    <w:rsid w:val="00A0773E"/>
    <w:rsid w:val="00A11429"/>
    <w:rsid w:val="00A13818"/>
    <w:rsid w:val="00A163D9"/>
    <w:rsid w:val="00A16E3B"/>
    <w:rsid w:val="00A2142A"/>
    <w:rsid w:val="00A27E12"/>
    <w:rsid w:val="00A35D03"/>
    <w:rsid w:val="00A56340"/>
    <w:rsid w:val="00A56999"/>
    <w:rsid w:val="00A6233E"/>
    <w:rsid w:val="00A635CF"/>
    <w:rsid w:val="00A6518A"/>
    <w:rsid w:val="00A74451"/>
    <w:rsid w:val="00A91A5A"/>
    <w:rsid w:val="00A94041"/>
    <w:rsid w:val="00A9749E"/>
    <w:rsid w:val="00AA25C6"/>
    <w:rsid w:val="00AB5E94"/>
    <w:rsid w:val="00AC040F"/>
    <w:rsid w:val="00AC78D9"/>
    <w:rsid w:val="00AD2CE3"/>
    <w:rsid w:val="00AD6AF7"/>
    <w:rsid w:val="00AE2D1F"/>
    <w:rsid w:val="00AE393B"/>
    <w:rsid w:val="00AE53E6"/>
    <w:rsid w:val="00AF4C87"/>
    <w:rsid w:val="00AF4CE8"/>
    <w:rsid w:val="00AF6EFF"/>
    <w:rsid w:val="00B02BF8"/>
    <w:rsid w:val="00B1088C"/>
    <w:rsid w:val="00B1143F"/>
    <w:rsid w:val="00B15431"/>
    <w:rsid w:val="00B23029"/>
    <w:rsid w:val="00B36591"/>
    <w:rsid w:val="00B445E0"/>
    <w:rsid w:val="00B46736"/>
    <w:rsid w:val="00B51125"/>
    <w:rsid w:val="00B55949"/>
    <w:rsid w:val="00B62C92"/>
    <w:rsid w:val="00B63055"/>
    <w:rsid w:val="00B71E51"/>
    <w:rsid w:val="00B83C76"/>
    <w:rsid w:val="00B856C7"/>
    <w:rsid w:val="00B858B6"/>
    <w:rsid w:val="00BA10B6"/>
    <w:rsid w:val="00BA67EE"/>
    <w:rsid w:val="00BB656F"/>
    <w:rsid w:val="00BB6C58"/>
    <w:rsid w:val="00BC2064"/>
    <w:rsid w:val="00BC478D"/>
    <w:rsid w:val="00BC6898"/>
    <w:rsid w:val="00BD19F0"/>
    <w:rsid w:val="00BD51EC"/>
    <w:rsid w:val="00BF0430"/>
    <w:rsid w:val="00BF06F0"/>
    <w:rsid w:val="00BF310A"/>
    <w:rsid w:val="00C02D86"/>
    <w:rsid w:val="00C11CCF"/>
    <w:rsid w:val="00C14F2C"/>
    <w:rsid w:val="00C16C98"/>
    <w:rsid w:val="00C22963"/>
    <w:rsid w:val="00C35F14"/>
    <w:rsid w:val="00C435D9"/>
    <w:rsid w:val="00C47B7D"/>
    <w:rsid w:val="00C56586"/>
    <w:rsid w:val="00C579EA"/>
    <w:rsid w:val="00C661E3"/>
    <w:rsid w:val="00C70CDD"/>
    <w:rsid w:val="00C8799B"/>
    <w:rsid w:val="00C91FC8"/>
    <w:rsid w:val="00C94FD7"/>
    <w:rsid w:val="00CA5735"/>
    <w:rsid w:val="00CB0917"/>
    <w:rsid w:val="00CB11A8"/>
    <w:rsid w:val="00CB1482"/>
    <w:rsid w:val="00CB2A06"/>
    <w:rsid w:val="00CB37D9"/>
    <w:rsid w:val="00CC6350"/>
    <w:rsid w:val="00CD3254"/>
    <w:rsid w:val="00CD6F6C"/>
    <w:rsid w:val="00CF00DF"/>
    <w:rsid w:val="00CF0526"/>
    <w:rsid w:val="00CF1BB6"/>
    <w:rsid w:val="00CF4E7B"/>
    <w:rsid w:val="00CF7D08"/>
    <w:rsid w:val="00D124A2"/>
    <w:rsid w:val="00D1536B"/>
    <w:rsid w:val="00D16EB4"/>
    <w:rsid w:val="00D23709"/>
    <w:rsid w:val="00D242C8"/>
    <w:rsid w:val="00D304FE"/>
    <w:rsid w:val="00D30A1A"/>
    <w:rsid w:val="00D315BE"/>
    <w:rsid w:val="00D40138"/>
    <w:rsid w:val="00D4709B"/>
    <w:rsid w:val="00D5278E"/>
    <w:rsid w:val="00D53978"/>
    <w:rsid w:val="00D6187C"/>
    <w:rsid w:val="00D625AB"/>
    <w:rsid w:val="00D635EC"/>
    <w:rsid w:val="00D70BD2"/>
    <w:rsid w:val="00D76449"/>
    <w:rsid w:val="00D94B87"/>
    <w:rsid w:val="00D97B7E"/>
    <w:rsid w:val="00DA40B0"/>
    <w:rsid w:val="00DB560B"/>
    <w:rsid w:val="00DB6DF6"/>
    <w:rsid w:val="00DC76D7"/>
    <w:rsid w:val="00DD4EBC"/>
    <w:rsid w:val="00DD6177"/>
    <w:rsid w:val="00DF6F61"/>
    <w:rsid w:val="00DF7B26"/>
    <w:rsid w:val="00E01817"/>
    <w:rsid w:val="00E03C3E"/>
    <w:rsid w:val="00E0783C"/>
    <w:rsid w:val="00E106F6"/>
    <w:rsid w:val="00E1321E"/>
    <w:rsid w:val="00E14DCA"/>
    <w:rsid w:val="00E153A4"/>
    <w:rsid w:val="00E22F40"/>
    <w:rsid w:val="00E23A86"/>
    <w:rsid w:val="00E24964"/>
    <w:rsid w:val="00E25F56"/>
    <w:rsid w:val="00E344B8"/>
    <w:rsid w:val="00E364D1"/>
    <w:rsid w:val="00E4163A"/>
    <w:rsid w:val="00E45752"/>
    <w:rsid w:val="00E51388"/>
    <w:rsid w:val="00E54207"/>
    <w:rsid w:val="00E64532"/>
    <w:rsid w:val="00E66788"/>
    <w:rsid w:val="00E8095E"/>
    <w:rsid w:val="00E819EA"/>
    <w:rsid w:val="00E845BB"/>
    <w:rsid w:val="00E84B6F"/>
    <w:rsid w:val="00EA43B3"/>
    <w:rsid w:val="00EA45A9"/>
    <w:rsid w:val="00EB0B84"/>
    <w:rsid w:val="00EB78C3"/>
    <w:rsid w:val="00EC2951"/>
    <w:rsid w:val="00EC39EB"/>
    <w:rsid w:val="00EC3F4C"/>
    <w:rsid w:val="00EC6D2F"/>
    <w:rsid w:val="00ED2B99"/>
    <w:rsid w:val="00ED5AA8"/>
    <w:rsid w:val="00ED6209"/>
    <w:rsid w:val="00ED62D7"/>
    <w:rsid w:val="00EF38E0"/>
    <w:rsid w:val="00EF4A4C"/>
    <w:rsid w:val="00EF4BF4"/>
    <w:rsid w:val="00EF7158"/>
    <w:rsid w:val="00F02AD9"/>
    <w:rsid w:val="00F05576"/>
    <w:rsid w:val="00F062D7"/>
    <w:rsid w:val="00F07B07"/>
    <w:rsid w:val="00F125DB"/>
    <w:rsid w:val="00F158D9"/>
    <w:rsid w:val="00F30BCF"/>
    <w:rsid w:val="00F36D33"/>
    <w:rsid w:val="00F437E8"/>
    <w:rsid w:val="00F569F3"/>
    <w:rsid w:val="00F667DC"/>
    <w:rsid w:val="00F70DC1"/>
    <w:rsid w:val="00F71391"/>
    <w:rsid w:val="00F71646"/>
    <w:rsid w:val="00F864BF"/>
    <w:rsid w:val="00F90A37"/>
    <w:rsid w:val="00FA616E"/>
    <w:rsid w:val="00FB13DF"/>
    <w:rsid w:val="00FC0AC8"/>
    <w:rsid w:val="00FC1659"/>
    <w:rsid w:val="00FC3259"/>
    <w:rsid w:val="00FC456F"/>
    <w:rsid w:val="00FC506F"/>
    <w:rsid w:val="00FD549A"/>
    <w:rsid w:val="00FE024E"/>
    <w:rsid w:val="00FF115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78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68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97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B7E"/>
    <w:rPr>
      <w:sz w:val="28"/>
      <w:szCs w:val="28"/>
    </w:rPr>
  </w:style>
  <w:style w:type="paragraph" w:styleId="a6">
    <w:name w:val="footer"/>
    <w:basedOn w:val="a"/>
    <w:link w:val="a7"/>
    <w:uiPriority w:val="99"/>
    <w:rsid w:val="00D97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B7E"/>
    <w:rPr>
      <w:sz w:val="28"/>
      <w:szCs w:val="28"/>
    </w:rPr>
  </w:style>
  <w:style w:type="table" w:styleId="a8">
    <w:name w:val="Table Grid"/>
    <w:basedOn w:val="a1"/>
    <w:rsid w:val="0056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B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46872563903766E-2"/>
          <c:y val="4.4057617797775527E-2"/>
          <c:w val="0.9021741370427615"/>
          <c:h val="0.625770289352129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місяців 2019 року, тис.грн.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3">
                  <a:lumMod val="7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1.6491539794001836E-2"/>
                  <c:y val="-4.1234313795881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59680252487803E-3"/>
                  <c:y val="-5.8542150316316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4316109422492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621073961499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Послуги з організації харчування учнів</c:v>
                </c:pt>
                <c:pt idx="1">
                  <c:v>Реалізація продукції власного виробництва через лоток</c:v>
                </c:pt>
                <c:pt idx="2">
                  <c:v>Постачання товарів у дошкільні навчальні заклади </c:v>
                </c:pt>
                <c:pt idx="3">
                  <c:v>Реалізація покупних товарів через лоток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5927.88</c:v>
                </c:pt>
                <c:pt idx="1">
                  <c:v>1703</c:v>
                </c:pt>
                <c:pt idx="2">
                  <c:v>365.63</c:v>
                </c:pt>
                <c:pt idx="3">
                  <c:v>453.81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місяців 2018 року, тис.грн.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5356277915028977E-2"/>
                  <c:y val="-5.351043885471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32093136541678E-2"/>
                  <c:y val="-2.6057027960011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924720190501655E-2"/>
                  <c:y val="-1.2158373820293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048091940593981E-2"/>
                  <c:y val="-2.0499246104875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Послуги з організації харчування учнів</c:v>
                </c:pt>
                <c:pt idx="1">
                  <c:v>Реалізація продукції власного виробництва через лоток</c:v>
                </c:pt>
                <c:pt idx="2">
                  <c:v>Постачання товарів у дошкільні навчальні заклади </c:v>
                </c:pt>
                <c:pt idx="3">
                  <c:v>Реалізація покупних товарів через лоток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4929.1000000000004</c:v>
                </c:pt>
                <c:pt idx="1">
                  <c:v>1422.2</c:v>
                </c:pt>
                <c:pt idx="2">
                  <c:v>749.2</c:v>
                </c:pt>
                <c:pt idx="3">
                  <c:v>338.1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885568"/>
        <c:axId val="73887104"/>
        <c:axId val="0"/>
      </c:bar3DChart>
      <c:catAx>
        <c:axId val="73885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87104"/>
        <c:crosses val="autoZero"/>
        <c:auto val="1"/>
        <c:lblAlgn val="ctr"/>
        <c:lblOffset val="100"/>
        <c:noMultiLvlLbl val="0"/>
      </c:catAx>
      <c:valAx>
        <c:axId val="738871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8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71335499600369"/>
          <c:y val="3.0910497889891451E-2"/>
          <c:w val="0.20639776885842193"/>
          <c:h val="0.426612099019538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FF00"/>
        </a:gs>
        <a:gs pos="50000">
          <a:srgbClr val="9CB86E"/>
        </a:gs>
        <a:gs pos="100000">
          <a:srgbClr val="156B13"/>
        </a:gs>
      </a:gsLst>
      <a:lin ang="5400000" scaled="0"/>
      <a:tileRect r="-100000" b="-10000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 витрат КПШХ "Мрія" ОМР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за 9 міс. 2019 р.</a:t>
            </a:r>
          </a:p>
        </c:rich>
      </c:tx>
      <c:layout>
        <c:manualLayout>
          <c:xMode val="edge"/>
          <c:yMode val="edge"/>
          <c:x val="0.30521534958732566"/>
          <c:y val="3.7308468209813352E-2"/>
        </c:manualLayout>
      </c:layout>
      <c:overlay val="0"/>
    </c:title>
    <c:autoTitleDeleted val="0"/>
    <c:view3D>
      <c:rotX val="3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039187312927252E-2"/>
          <c:y val="0.22409741508224795"/>
          <c:w val="0.49365115624091205"/>
          <c:h val="0.613214127541016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витрат КПШХ "Мрія" ОМР за 9 міс. 2019 р.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rgbClr val="FA4122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B953B4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6.1633146760269361E-2"/>
                  <c:y val="5.8203206526894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960342979635584"/>
                  <c:y val="7.6300936086968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Матеріальні витрати </c:v>
                </c:pt>
                <c:pt idx="1">
                  <c:v>Витрати на придбання сировини</c:v>
                </c:pt>
                <c:pt idx="2">
                  <c:v>Фонд оплати праці</c:v>
                </c:pt>
                <c:pt idx="3">
                  <c:v>Нарахування на заробітну плату</c:v>
                </c:pt>
                <c:pt idx="4">
                  <c:v>Амортизаційні відрахування</c:v>
                </c:pt>
                <c:pt idx="5">
                  <c:v>Інші операційні витрати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3.6999999999999998E-2</c:v>
                </c:pt>
                <c:pt idx="1">
                  <c:v>0.66730000000000211</c:v>
                </c:pt>
                <c:pt idx="2">
                  <c:v>0.22500000000000001</c:v>
                </c:pt>
                <c:pt idx="3">
                  <c:v>5.0500000000000003E-2</c:v>
                </c:pt>
                <c:pt idx="4">
                  <c:v>7.1000000000000004E-3</c:v>
                </c:pt>
                <c:pt idx="5">
                  <c:v>1.2999999999999998E-2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28198590802857"/>
          <c:y val="0.27283450753300381"/>
          <c:w val="0.43125845725069162"/>
          <c:h val="0.655444996086496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FF00"/>
        </a:gs>
        <a:gs pos="50000">
          <a:srgbClr val="9CB86E"/>
        </a:gs>
        <a:gs pos="100000">
          <a:srgbClr val="156B13"/>
        </a:gs>
      </a:gsLst>
      <a:lin ang="8100000" scaled="1"/>
      <a:tileRect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 flip="none" rotWithShape="1">
          <a:gsLst>
            <a:gs pos="0">
              <a:srgbClr val="FFFF00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c:spPr>
    </c:sideWall>
    <c:backWall>
      <c:thickness val="0"/>
      <c:spPr>
        <a:gradFill flip="none" rotWithShape="1">
          <a:gsLst>
            <a:gs pos="0">
              <a:srgbClr val="FFFF00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c:spPr>
    </c:backWall>
    <c:plotArea>
      <c:layout>
        <c:manualLayout>
          <c:layoutTarget val="inner"/>
          <c:xMode val="edge"/>
          <c:yMode val="edge"/>
          <c:x val="0.10056604234822858"/>
          <c:y val="1.6216939562432243E-2"/>
          <c:w val="0.89943395765177148"/>
          <c:h val="0.68189124624618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р.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52400"/>
            </a:sp3d>
          </c:spPr>
          <c:invertIfNegative val="0"/>
          <c:dLbls>
            <c:dLbl>
              <c:idx val="0"/>
              <c:layout>
                <c:manualLayout>
                  <c:x val="2.56264050172600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8974725201366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3553375143834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842700115067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897472520136692E-2"/>
                  <c:y val="-2.820349510147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62640501726E-2"/>
                  <c:y val="-5.6406990202949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Матеріальні витрати </c:v>
                </c:pt>
                <c:pt idx="1">
                  <c:v>Витрати на придбання сировини</c:v>
                </c:pt>
                <c:pt idx="2">
                  <c:v>Фонд оплати праці</c:v>
                </c:pt>
                <c:pt idx="3">
                  <c:v>Нарахування на заробітну плату</c:v>
                </c:pt>
                <c:pt idx="4">
                  <c:v>Амортизаційні відрахування</c:v>
                </c:pt>
                <c:pt idx="5">
                  <c:v>Інші операційні витрати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303.31</c:v>
                </c:pt>
                <c:pt idx="1">
                  <c:v>5465.55</c:v>
                </c:pt>
                <c:pt idx="2">
                  <c:v>1842.4</c:v>
                </c:pt>
                <c:pt idx="3">
                  <c:v>413.87</c:v>
                </c:pt>
                <c:pt idx="4">
                  <c:v>58.260000000000012</c:v>
                </c:pt>
                <c:pt idx="5">
                  <c:v>106.81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р.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7761938768698403E-2"/>
                  <c:y val="-2.8203495101474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304073774451655E-2"/>
                  <c:y val="-2.8205715849120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1172762830818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033006271575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4396075258901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575141277328315E-2"/>
                  <c:y val="-5.6406990202949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Матеріальні витрати </c:v>
                </c:pt>
                <c:pt idx="1">
                  <c:v>Витрати на придбання сировини</c:v>
                </c:pt>
                <c:pt idx="2">
                  <c:v>Фонд оплати праці</c:v>
                </c:pt>
                <c:pt idx="3">
                  <c:v>Нарахування на заробітну плату</c:v>
                </c:pt>
                <c:pt idx="4">
                  <c:v>Амортизаційні відрахування</c:v>
                </c:pt>
                <c:pt idx="5">
                  <c:v>Інші операційні витрати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252.6</c:v>
                </c:pt>
                <c:pt idx="1">
                  <c:v>4885</c:v>
                </c:pt>
                <c:pt idx="2">
                  <c:v>1591.5</c:v>
                </c:pt>
                <c:pt idx="3">
                  <c:v>362.5</c:v>
                </c:pt>
                <c:pt idx="4">
                  <c:v>29.6</c:v>
                </c:pt>
                <c:pt idx="5">
                  <c:v>101.7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572544"/>
        <c:axId val="34586624"/>
        <c:axId val="0"/>
      </c:bar3DChart>
      <c:catAx>
        <c:axId val="34572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4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86624"/>
        <c:crosses val="autoZero"/>
        <c:auto val="0"/>
        <c:lblAlgn val="ctr"/>
        <c:lblOffset val="100"/>
        <c:noMultiLvlLbl val="0"/>
      </c:catAx>
      <c:valAx>
        <c:axId val="34586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72544"/>
        <c:crosses val="autoZero"/>
        <c:crossBetween val="between"/>
        <c:majorUnit val="1000"/>
        <c:minorUnit val="200"/>
      </c:valAx>
      <c:spPr>
        <a:gradFill flip="none" rotWithShape="1">
          <a:gsLst>
            <a:gs pos="0">
              <a:srgbClr val="FFFF00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>
          <a:noFill/>
        </a:ln>
      </c:spPr>
    </c:plotArea>
    <c:legend>
      <c:legendPos val="r"/>
      <c:layout>
        <c:manualLayout>
          <c:xMode val="edge"/>
          <c:yMode val="edge"/>
          <c:x val="0.77708833445718284"/>
          <c:y val="5.5707815580130444E-2"/>
          <c:w val="0.16953017532029671"/>
          <c:h val="0.13696333748047806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709C-FCB5-46A8-82EF-6354DEA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3813</TotalTime>
  <Pages>6</Pages>
  <Words>1223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Мрiя</dc:creator>
  <cp:lastModifiedBy>PC-02</cp:lastModifiedBy>
  <cp:revision>19</cp:revision>
  <cp:lastPrinted>2019-12-04T13:05:00Z</cp:lastPrinted>
  <dcterms:created xsi:type="dcterms:W3CDTF">2012-03-21T06:44:00Z</dcterms:created>
  <dcterms:modified xsi:type="dcterms:W3CDTF">2019-12-04T13:05:00Z</dcterms:modified>
</cp:coreProperties>
</file>