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76" w:rsidRPr="00530176" w:rsidRDefault="00530176" w:rsidP="0053017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УКРАЇНА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 МІСЬКА РАДА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ТЕТІЇВСЬКОГО РАЙОНУ КИЇВСЬКОЇ ОБЛАСТІ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ВІСІМНАДЦЯТА СЕСІЯ СЬОМОГО СКЛИКАННЯ</w:t>
      </w:r>
    </w:p>
    <w:p w:rsidR="00530176" w:rsidRPr="00530176" w:rsidRDefault="00530176" w:rsidP="00530176">
      <w:pPr>
        <w:shd w:val="clear" w:color="auto" w:fill="F7F8F9"/>
        <w:spacing w:after="0" w:line="240" w:lineRule="auto"/>
        <w:ind w:left="1683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ind w:left="1683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ind w:left="1683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 м. Тетіїв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 затвердження Положення про оренду</w:t>
      </w:r>
    </w:p>
    <w:p w:rsidR="00530176" w:rsidRPr="00530176" w:rsidRDefault="00530176" w:rsidP="0053017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окремих конструктивних елементів</w:t>
      </w:r>
    </w:p>
    <w:p w:rsidR="00530176" w:rsidRPr="00530176" w:rsidRDefault="00530176" w:rsidP="0053017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благоустрою комунальної власності</w:t>
      </w:r>
    </w:p>
    <w:p w:rsidR="00530176" w:rsidRPr="00530176" w:rsidRDefault="00530176" w:rsidP="0053017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для надання послуг у сфері відпочинку</w:t>
      </w:r>
    </w:p>
    <w:p w:rsidR="00530176" w:rsidRPr="00530176" w:rsidRDefault="00530176" w:rsidP="0053017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і </w:t>
      </w:r>
      <w:proofErr w:type="gramStart"/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розваг  на</w:t>
      </w:r>
      <w:proofErr w:type="gramEnd"/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території  Тетіївської міської ради</w:t>
      </w:r>
      <w:bookmarkEnd w:id="0"/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 Розглянувши та обговоривши Положення про оренду окремих конструктивних елементів благоустрою комунальної власності для надання послуг у сфері відпочинку і розваг  на  території  Тетіївської міської ради, висновок постійної депутатської 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зв"язку, відповідно до  статті 26 Закону України « Про місцеве самоврядування в Україні», міська рада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ind w:left="-5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</w:t>
      </w:r>
    </w:p>
    <w:p w:rsidR="00530176" w:rsidRPr="00530176" w:rsidRDefault="00530176" w:rsidP="0053017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         </w:t>
      </w: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В И Р І Ш И Л </w:t>
      </w:r>
      <w:proofErr w:type="gramStart"/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 :</w:t>
      </w:r>
      <w:proofErr w:type="gramEnd"/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 Затвердити Положення про оренду окремих конструктивних елементів благоустрою комунальної власності для надання послуг у сфері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відпочинку  і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розваг  на  території  Тетіївської міської ради (додається).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ind w:left="-5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ind w:left="-54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 2. Контроль за виконанням даного рішення покласти на постійну депутатську 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 комісію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зв"язку.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 голова                                               Р.В.Майструк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  28.03.2019р.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№ 527 - 18 –VIІ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ind w:left="-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Начальник  юридичного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відділу                                               Н.М.Складена 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 Додаток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                 до рішення 18 сесії міської ради 7 скликання                                                                        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                 від 21.03.2019 р. №    527- 18 - VII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ПОЛОЖЕННЯ</w:t>
      </w:r>
    </w:p>
    <w:p w:rsidR="00530176" w:rsidRPr="00530176" w:rsidRDefault="00530176" w:rsidP="0053017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оренду окремих конструктивних елементів благоустрою комунальної </w:t>
      </w:r>
      <w:proofErr w:type="gramStart"/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власності  для</w:t>
      </w:r>
      <w:proofErr w:type="gramEnd"/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надання послуг у сфері відпочинку  і розваг  на  території  Тетіївської міської ради</w:t>
      </w:r>
    </w:p>
    <w:p w:rsidR="00530176" w:rsidRPr="00530176" w:rsidRDefault="00530176" w:rsidP="0053017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1. Загальні положення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1.1. Положення про оренду окремих конструктивних елементів благоустрою комунальної власності для надання послуг у сфері відпочинку і розваг на території Тетіївської міської ради (далі - Положення) розроблено на пiдставi Законів України "Про місцеве самоврядування в Україні", "Про оренду державного та комунального майна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",  "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 благоустрій населених пунктів".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1.2. Це Положення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встановлює  порядок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розміщення та облаштування на території  Тетіївської міської ради об’єктів сезонної торгівлі, сезонних об’єктів сфери послуг, відпочинку і розваг для здійснення підприємницької діяльності.</w:t>
      </w:r>
    </w:p>
    <w:p w:rsidR="00530176" w:rsidRPr="00530176" w:rsidRDefault="00530176" w:rsidP="0053017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1.3. 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  сезонному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або короткостроковому розміщенні атракціонів,  циркових вистав, пересувних тимчасових споруд та інших об’єктів з надання послуг у сфері відпочинку і розваг  у тимчасове користування суб'єктам підприємницької діяльності можуть надаватися, на умовах оренди, окремі конструктивні елементи благоустрою комунальної власності</w:t>
      </w: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1.4. Положення встановлює вимоги до організації надання послуг у сфері відпочинку та розваг з врахуванням архітектурних, санітарно-гігієнічних, пожежних, функціонально-планувальних та історико-культурних чинників,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визначає  порядок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справляння орендної плати за окремі конструктивні елементи благоустрою та  ступінь відповідальності за недотримання передбачених вимог.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1.5. Дія цього Положення поширюється на всіх суб'єктів господарювання незалежно від форми власності, а також на фізичних осіб, які облаштовують об’єкти сезонної торгівлі, здійснюють підприємницьку діяльність у сфері організації відпочинку і розвага на території Тетіївської міської ради.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 </w:t>
      </w:r>
    </w:p>
    <w:p w:rsidR="00530176" w:rsidRPr="00530176" w:rsidRDefault="00530176" w:rsidP="0053017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2. Визначення термінів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2.1. Конструктивні елементи об’єктів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благоустрою :</w:t>
      </w:r>
      <w:proofErr w:type="gramEnd"/>
    </w:p>
    <w:p w:rsidR="00530176" w:rsidRPr="00530176" w:rsidRDefault="00530176" w:rsidP="00530176">
      <w:pPr>
        <w:numPr>
          <w:ilvl w:val="0"/>
          <w:numId w:val="20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покриття  площ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 вулиць,  алей, бульварів,  пішохідних зон;</w:t>
      </w:r>
    </w:p>
    <w:p w:rsidR="00530176" w:rsidRPr="00530176" w:rsidRDefault="00530176" w:rsidP="00530176">
      <w:pPr>
        <w:numPr>
          <w:ilvl w:val="0"/>
          <w:numId w:val="20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зелені насадження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загального  користування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;            </w:t>
      </w:r>
    </w:p>
    <w:p w:rsidR="00530176" w:rsidRPr="00530176" w:rsidRDefault="00530176" w:rsidP="00530176">
      <w:pPr>
        <w:numPr>
          <w:ilvl w:val="0"/>
          <w:numId w:val="20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інші елементи благоустрою, визначені нормативно-правовими актами.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2.2. Об’єкт сезонної торгівлі  - кіоски, палатки, намет, ятка, лоток, рундук, павільйони для сезонного продажу товарів, торговельні автомати,  автомагазини,  авторозвозки,  автоцистерни,  лавки-автопричепи, візки, спеціальне технологічне обладнання   (низькотемпературні   лотки-прилавки), розноски, столики тощо (ДСТУ 4303:2004 „Роздрібна та оптова торгівля”, наказ Міністерства зовнішніх економічних зв’язків і торгівлі України від 08.07.1996 № 369 „Про затвердження Правил роботи дрібнороздрібної торговельної мережі”).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2.3. Послуги у сфері відпочинку і розваг:</w:t>
      </w:r>
    </w:p>
    <w:p w:rsidR="00530176" w:rsidRPr="00530176" w:rsidRDefault="00530176" w:rsidP="00530176">
      <w:pPr>
        <w:numPr>
          <w:ilvl w:val="0"/>
          <w:numId w:val="21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послуги прокату іграшкових машинок, дитячих мотоциклів, електро-веломобілів, "паровозиків";</w:t>
      </w:r>
    </w:p>
    <w:p w:rsidR="00530176" w:rsidRPr="00530176" w:rsidRDefault="00530176" w:rsidP="00530176">
      <w:pPr>
        <w:numPr>
          <w:ilvl w:val="0"/>
          <w:numId w:val="21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послуги прокату дитячих атракціонів, спортивно-розважальних автоматів, пересувних кінотеатрів;</w:t>
      </w:r>
    </w:p>
    <w:p w:rsidR="00530176" w:rsidRPr="00530176" w:rsidRDefault="00530176" w:rsidP="00530176">
      <w:pPr>
        <w:numPr>
          <w:ilvl w:val="0"/>
          <w:numId w:val="21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послуги, які надаються при використанні тварин;</w:t>
      </w:r>
    </w:p>
    <w:p w:rsidR="00530176" w:rsidRPr="00530176" w:rsidRDefault="00530176" w:rsidP="00530176">
      <w:pPr>
        <w:numPr>
          <w:ilvl w:val="0"/>
          <w:numId w:val="21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послуги цирків;</w:t>
      </w:r>
    </w:p>
    <w:p w:rsidR="00530176" w:rsidRPr="00530176" w:rsidRDefault="00530176" w:rsidP="00530176">
      <w:pPr>
        <w:numPr>
          <w:ilvl w:val="0"/>
          <w:numId w:val="21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розміщення пересувних тимчасових споруд для здійснення сезонної або короткострокової підприємницької діяльності.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2.4.  Дитячі атракціони:</w:t>
      </w:r>
    </w:p>
    <w:p w:rsidR="00530176" w:rsidRPr="00530176" w:rsidRDefault="00530176" w:rsidP="00530176">
      <w:pPr>
        <w:numPr>
          <w:ilvl w:val="0"/>
          <w:numId w:val="22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механізовані та немеханізовані стаціонарні, пересувні і мобільні катальні атракціони, у тому числі каруселі, гойдалки, качалки, катальні гори, гірки, колеса огляду, вежі, дороги, автодроми, катапульти тощо;</w:t>
      </w:r>
    </w:p>
    <w:p w:rsidR="00530176" w:rsidRPr="00530176" w:rsidRDefault="00530176" w:rsidP="00530176">
      <w:pPr>
        <w:numPr>
          <w:ilvl w:val="0"/>
          <w:numId w:val="22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атракціони з еластичними елементами (катапульти, стрибки з висоти на еластичному тросі тощо);</w:t>
      </w:r>
    </w:p>
    <w:p w:rsidR="00530176" w:rsidRPr="00530176" w:rsidRDefault="00530176" w:rsidP="00530176">
      <w:pPr>
        <w:numPr>
          <w:ilvl w:val="0"/>
          <w:numId w:val="22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водні, у тому числі гірки, спуски, кулі тощо;</w:t>
      </w:r>
    </w:p>
    <w:p w:rsidR="00530176" w:rsidRPr="00530176" w:rsidRDefault="00530176" w:rsidP="00530176">
      <w:pPr>
        <w:numPr>
          <w:ilvl w:val="0"/>
          <w:numId w:val="22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спортивні, у тому числі силові, тренажери, тири, батути тощо;</w:t>
      </w:r>
    </w:p>
    <w:p w:rsidR="00530176" w:rsidRPr="00530176" w:rsidRDefault="00530176" w:rsidP="00530176">
      <w:pPr>
        <w:numPr>
          <w:ilvl w:val="0"/>
          <w:numId w:val="22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обладнання дитячих ігрових майданчиків, у тому числі каруселі, гойдалки, качалки, гірки тощо.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2.5. Пересувна тимчасова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споруда  -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споруда,  яка не має закритого приміщення для тимчасового  перебування  людей (палатка, автомагазин, автокафе, авторозвозка, автоцистерна, автопричеп, атракціони),  у  якій  може   бути   розміщене торговельне   обладнання,   низькотемпературний  прилавок, ємність,  торговельний  автомат,  інші   пристрої   для сезонної   роздрібної торгівлі.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2.6. Терміни, що не визначені у цьому Положенні, вживаються у значенні, встановленому чинним законодавством України.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3. Умови оформлення оренди окремих конструктивних</w:t>
      </w:r>
    </w:p>
    <w:p w:rsidR="00530176" w:rsidRPr="00530176" w:rsidRDefault="00530176" w:rsidP="0053017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елементів  благоустрою</w:t>
      </w:r>
      <w:proofErr w:type="gramEnd"/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комунальної власності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3.1. Орендодавцем окремих конструктивних елементів благоустрою для розміщення атракціонів, циркових вистав, пересувних тимчасових споруд та інших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об’єктів  сфери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відпочинку та розваг є  КП «Агенція регіонального розвитку» Тетіївської міської ради.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3.2. Дозвіл надання в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оренду  окремих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конструктивних елементів благоустрою для надання послуг у сфері відпочинку і розваг (далі - Дозвіл) надається КП «Агенцією регіонального розвитку» Тетіївської міської ради.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3.3. Передача в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оренду  окремих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конструктивних елементів благоустрою для надання послуг у сфері відпочинку і розваг здійснюється після підписання Договору на право тимчасового користування окремими конструктивними елементами благоустрою комунальної власності на умовах оренди (додаток №3).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3.4. Місце розташування об'єктів для надання послуг у сфері відпочинку і розваг не повинно створювати будь-яких незручностей для пішоходів та транспортних засобів на території міста.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3.5. Усі об'єкти, що стосуються сфери відпочинку і розваг, повинні мати належний естетичний вигляд, архітектурно вписуватись в навколишнє середовище, відповідати вимогам нормативних документів щодо санітарії, охорони праці, техніки безпеки.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3.6. Передача в суборенду окремих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конструктивних  елементів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благоустрою комунальної власності  не дозволяється.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4. Порядок отримання дозволу на надання</w:t>
      </w:r>
    </w:p>
    <w:p w:rsidR="00530176" w:rsidRPr="00530176" w:rsidRDefault="00530176" w:rsidP="0053017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послуг  у</w:t>
      </w:r>
      <w:proofErr w:type="gramEnd"/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сфері відпочинку і розваг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4.1. Для отримання дозволу на надання послуг, визначених п. 1.2   Положення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суб'єкт  господарювання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подає до КП «Агенція регіонального розвику», а після відкриття ЦНАПу в Центр надання адміністративних послуг (ЦНАП) такі документи:</w:t>
      </w:r>
    </w:p>
    <w:p w:rsidR="00530176" w:rsidRPr="00530176" w:rsidRDefault="00530176" w:rsidP="00530176">
      <w:pPr>
        <w:numPr>
          <w:ilvl w:val="0"/>
          <w:numId w:val="23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заяву (форма заяви -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додаток  до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Положення);</w:t>
      </w:r>
    </w:p>
    <w:p w:rsidR="00530176" w:rsidRPr="00530176" w:rsidRDefault="00530176" w:rsidP="00530176">
      <w:pPr>
        <w:numPr>
          <w:ilvl w:val="0"/>
          <w:numId w:val="23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копія витягу з Єдиного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державного  реєстру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юридичних осіб та фізичних осіб-підприємців;</w:t>
      </w:r>
    </w:p>
    <w:p w:rsidR="00530176" w:rsidRPr="00530176" w:rsidRDefault="00530176" w:rsidP="00530176">
      <w:pPr>
        <w:numPr>
          <w:ilvl w:val="0"/>
          <w:numId w:val="23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дозвіл територіального управління Держгірпромнагляду на виконання робіт підвищеної небезпеки та на експлуатацію (застосування) машин, механізмів, устаткування підвищеної небезпеки (за наявності);</w:t>
      </w:r>
    </w:p>
    <w:p w:rsidR="00530176" w:rsidRPr="00530176" w:rsidRDefault="00530176" w:rsidP="00530176">
      <w:pPr>
        <w:numPr>
          <w:ilvl w:val="0"/>
          <w:numId w:val="23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викопіювання з ситуаційного плану міста в масштабі М 1:2000, М 1:500 із зазначенням місця розташування та схеми об’єкту з надання послуги у сфері відпочинку і розваг;</w:t>
      </w:r>
    </w:p>
    <w:p w:rsidR="00530176" w:rsidRPr="00530176" w:rsidRDefault="00530176" w:rsidP="00530176">
      <w:pPr>
        <w:numPr>
          <w:ilvl w:val="0"/>
          <w:numId w:val="23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ветеринарний паспорт на тварину (при наданні послуг з використанням тварин);</w:t>
      </w:r>
    </w:p>
    <w:p w:rsidR="00530176" w:rsidRPr="00530176" w:rsidRDefault="00530176" w:rsidP="00530176">
      <w:pPr>
        <w:numPr>
          <w:ilvl w:val="0"/>
          <w:numId w:val="23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довіреність про право представляти інтереси суб'єкта господарювання в органах місцевого самоврядування, оформлену в установленому законодавством порядку (у разі звернення уповноваженого представника).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4.2.  Заява та документи, що додаються до неї, подаються адміністратору ЦНАП особисто суб'єктом господарювання (керівником юридичної особи, фізичною особою-підприємцем) або уповноваженою ним особою на підставі довіреності.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Зазначений перелік документів є вичерпним.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Заявник несе відповідальність за достовірність інформації, зазначеної в заяві та документах, що додаються до неї.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Заяви розглядаються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 порядку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їх чергового надходження згідно з реєстрацією.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4.3. Відмова у наданні дозволу на надання послуг у сфері відпочинку і розваг, визначених даним Положенням, надається у разі неподання суб'єктом господарювання усіх необхідних документів, передбачених даним Положенням, чи запропоноване суб'єктом господарювання місце розташування об'єкту для надання послуг у сфері відпочинку і розваг використовується для інших потреб громадян міста.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4.4. Адміністратор ЦНАП реєструє заяву та документи і передає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  розгляд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КП «Агенції регіонального розвитку» Тетіївської міської ради.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4.5. Для надання дозволу та укладання Договору про оренду окремих конструктивних елементів благоустрою комунальної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  для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надання послуг у сфері відпочинку і розваг  суб'єкт  господарювання  звертається до КП «Агенції регіонального розвитку» Тетіївської міської ради.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5. Визначення розмірів орендованої площі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5.1. Для розміщення об’єкту з надання послуг в сфері відпочинку і розваг площа орендованого окремого конструктивного елемента благоустрою визначається, як сума площі горизонтальної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проекції  об'єкта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площі прилеглої території, необхідної для обслуговування об’єкту.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6.  Визначення розмірів орендної плати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6.1. Орендна плата за оренду окремого конструктивного елемента благоустрою визначається відповідно до Методики розрахунку вартості окремих конструктивних </w:t>
      </w: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елементів благоустрою і розміру орендної плати за розміщення на них об’єктів з надання послуг у сфері відпочинку на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  Тетіївської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міської ради  (додаток №2).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6.2. Розрахункові ставки орендної плати щорічно на кожний наступний рік визначаються шляхом корегування розміру розрахункової ставки попереднього року на індекс інфляції за цей рік.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6.3. Порядок внесення орендної плати визначається в договорі оренди.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6.4. Орендна плата нараховується з моменту укладення договору оренди окремих конструктивних елементів благоустрою.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6.5. За несвоєчасне внесення орендної плати орендар несе відповідальність згідно договору.</w:t>
      </w:r>
    </w:p>
    <w:p w:rsidR="00530176" w:rsidRPr="00530176" w:rsidRDefault="00530176" w:rsidP="0053017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7. Вимоги до розміщення та облаштування об’єктів сезонної торгівлі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7.1. Об’єкт сезонної торгівлі та сезонні об’єкти сфери послуг, відпочинку і розваг розміщуються з дотриманням передбачених законодавством норм і правил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 межах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визначеної території. При здійсненні діяльності у сфері організації відпочинку і розваг не повинні створюватись будь-які незручності для пішоходів та проїзду транспортних засобів на даній території.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7.2. Об’єкти виїзної (виносної) торгівлі повинні мати належний естетичний вигляд, відповідати вимогам правил торгівлі та нормативних документів щодо санітарії, охорони праці, техніки безпеки.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7.3. Протягом дня та після закінчення роботи господарюючий суб’єкт повинен забезпечувати чистоту на прилеглій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 пункту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виїзної (виносної) торгівлі території. У випадках порушення Правил благоустрою міста суб’єкт, який здійснює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торгівлю ,буде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притягнутий до адміністративної відповідальності, згідно статті 152 КУпАП.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7.4. Розміщення пунктів виїзної торгівлі дозволяється в районах вулиць, площ та інших орієнтирів, що вказані в дозволах, за умови дотримання правил безпеки руху транспорту й пішоходів.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7.5. Заборонено розміщення пунктів виїзної (виносної) торгівлі: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в межах міських комунікацій;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на газонах, зелених насадженнях;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на землях, обтяжених правами землекористувачів, без їх згоди;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в природоохоронних зонах, охоронних зонах пам’ятників історії та культури (за винятком обслуговування міських заходів);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 у парковій зоні міста (окрім спеціально визначених святкових і фестивальних днів).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7.6. Суб’єкти господарювання, яким погоджено розміщення та облаштування об’єкта літньої торгівлі, забезпечують дотримання на об’єктах торгівлі вимог чинного законодавства у сфері торгівлі.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7.7.У випадку, якщо реальна площа більша за площу, зазначену в дозволі, суб’єкт господарювання зобов’язаний привести реальну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площу  у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 відповідність   до   площі,   зазначеної   в   дозволі. Якщо дана вимога суб’єктом господарювання не виконана в 10-ти денний термін, КП «Агенцією регіонального розвитку» приймається рішення про демонтаж.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7.8. Працівники, які безпосередньо здійснюють продаж продовольчих товарів із засобів пересувної мережі на товари, що одержані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для продажу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 повинні мати та пред’явити на вимогу: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  документи про надходження товарів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 продажу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(товарно-транспортні накладні із зазначенням назви, сорту, кількості, ціни та загальної вартості товару);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 документи, що засвідчують відповідність якості товарів вимогам нормативних документів (для імпортних товарів - копії сертифікатів, викладені мовою країни-експортера і українською та завірені печаткою суб'єкта господарювання, від якого одержані ці товари);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для товарів, що підлягають обов’язковій сертифікації в Україні (Перелік продукції, що підлягає обов’язковій сертифікації в Україні, затверджений наказом Державного комітету з питань технічного регулювання та споживчої політики від 1 лютого 2005 р. № 28 (зареєстрований в Міністерстві юстиції 4 травня 2005 р. за № 466/10746) із змінами, у накладній або в іншому відвантажувальному документі має бути зазначено реєстраційний номер сертифікатів відповідності та/або реєстраційні номери декларацій про відповідність;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копії гігієнічних висновків;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 ярлики (цінники) або покажчики цін;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-  у випадках застосування пересувної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мережі(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транспортного засобу) свідоцтво про реєстрацію транспортного засобу з відмітками про переобладнання транспортного засобу, видане у встановленому порядку Центром надання послуг з використання транспортних засобів Міністерства внутрішніх справ України, дотримання санітарно-гігієничних вимог стосовно транспорту.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Суб'єкти господарювання (власники засобів пересувної мережі) повинні мати на всі товари, що реалізуються в цих засобах, вищезазначені документи.</w:t>
      </w:r>
    </w:p>
    <w:p w:rsidR="00530176" w:rsidRPr="00530176" w:rsidRDefault="00530176" w:rsidP="0053017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Порядок отримання Погодження на розміщення та облаштування об’єкта сезонної торгівлі</w:t>
      </w: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Для отримання погодження претендент подає заяву до КП «Агенції регіонального розвитку», а після відкриття ЦНАП з 01.07.2019р.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 центру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надання адміністративних послуг Тетіївської міської ради.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Разом із заявою додається копія витягу з Єдиного державного реєстру із зазначенням основних видів діяльності юридичної особи або фізичної особи-підприємця, довідку платника податків, план - схему розміщення місця торгівлі із зазначення метражу, асортиментний перелік товарів.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 про погодження або відмови надання місця торгівлі приймається КП «Агенцією регіонального розвитку».</w:t>
      </w:r>
    </w:p>
    <w:p w:rsidR="00530176" w:rsidRPr="00530176" w:rsidRDefault="00530176" w:rsidP="00530176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lastRenderedPageBreak/>
        <w:t>Перелік місць для розміщення об’єктів сезонної торгівлі на території м.Тетіїв:</w:t>
      </w:r>
    </w:p>
    <w:p w:rsidR="00530176" w:rsidRPr="00530176" w:rsidRDefault="00530176" w:rsidP="00530176">
      <w:pPr>
        <w:numPr>
          <w:ilvl w:val="0"/>
          <w:numId w:val="24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Площа Героїв майдану</w:t>
      </w:r>
    </w:p>
    <w:p w:rsidR="00530176" w:rsidRPr="00530176" w:rsidRDefault="00530176" w:rsidP="00530176">
      <w:pPr>
        <w:numPr>
          <w:ilvl w:val="0"/>
          <w:numId w:val="24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Центральна паркова зона</w:t>
      </w:r>
    </w:p>
    <w:p w:rsidR="00530176" w:rsidRPr="00530176" w:rsidRDefault="00530176" w:rsidP="00530176">
      <w:pPr>
        <w:numPr>
          <w:ilvl w:val="0"/>
          <w:numId w:val="24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вул.Соборна, р-н магазину «Оптовичок»</w:t>
      </w:r>
    </w:p>
    <w:p w:rsidR="00530176" w:rsidRPr="00530176" w:rsidRDefault="00530176" w:rsidP="00530176">
      <w:pPr>
        <w:numPr>
          <w:ilvl w:val="0"/>
          <w:numId w:val="24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вул.Академіка Байраківського, р-н ринку</w:t>
      </w:r>
    </w:p>
    <w:p w:rsidR="00530176" w:rsidRPr="00530176" w:rsidRDefault="00530176" w:rsidP="00530176">
      <w:pPr>
        <w:numPr>
          <w:ilvl w:val="0"/>
          <w:numId w:val="24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вул.Центральна поворот на с.Дзвеняче (вул.М.Грушевського)</w:t>
      </w:r>
    </w:p>
    <w:p w:rsidR="00530176" w:rsidRPr="00530176" w:rsidRDefault="00530176" w:rsidP="00530176">
      <w:pPr>
        <w:numPr>
          <w:ilvl w:val="0"/>
          <w:numId w:val="24"/>
        </w:numPr>
        <w:shd w:val="clear" w:color="auto" w:fill="F7F8F9"/>
        <w:spacing w:before="120" w:after="120" w:line="240" w:lineRule="auto"/>
        <w:ind w:left="375" w:right="375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вул.В.Гуменюка, р-н Дзержинське (біля магазинів)</w:t>
      </w:r>
    </w:p>
    <w:p w:rsidR="00530176" w:rsidRPr="00530176" w:rsidRDefault="00530176" w:rsidP="0053017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8. </w:t>
      </w:r>
      <w:proofErr w:type="gramStart"/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Умови  утримання</w:t>
      </w:r>
      <w:proofErr w:type="gramEnd"/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місць для надання послуг у сфері відпочинку і розваг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8.1. Особи, яким дозволяється надання послуг у сфері відпочинку і розваг, зобов'язані: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8.1.1. забезпечити належне утримання території, у тому числі санітарне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очищення,  встановити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сміттєзбірники, урни для збирання відходів та сміття;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8.1.2. забезпечити належне утримання тварин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 цирках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 зоопарках, на виставках та інших видовищних заходах;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8.1.3. забезпечити збереження всіх елементів благоустрою, у тому числі зелених насаджень на наданій території;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8.1.4. здійснювати відповідні організаційні, господарські, технічні, технологічні та інші заходи з попередження утворення та зниження шуму до рівнів, установлених санітарними нормами.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8.2. На об'єктах благоустрою забороняється: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8.2.1. наклеювання оголошень та інформаційно-агітаційні плакатів, реклами, листівок, тощо у не визначених спеціально для цього місцях;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8.2.2. самовільне підключення до мереж електро-, водо- та газопостачання, зливової та господарсько-побутової каналізації;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8.2.3. зведення та переобладнання будь-яких елементів благоустрою без погодження з балансоутримувачем;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8.2.4. куріння тютюнових виробів на робочих місцях та на територіях, безпосередньо поряд з територіями дитячих розважальних атракціонів, майданчиків для відпочинку та дозвілля.</w:t>
      </w:r>
    </w:p>
    <w:p w:rsidR="00530176" w:rsidRPr="00530176" w:rsidRDefault="00530176" w:rsidP="00530176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9. Контроль за дотриманням цього Положення та відповідальність за його порушення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9.1. Відповідальність за технічний стан та зовнішній вигляд об'єктів з надання послуг у сфері відпочинку і розваг, порушення вимог техніки безпеки під час розташування (монтажу), експлуатації та демонтажу цих об'єктів, безпеку </w:t>
      </w: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>відвідувачів, дотримання санітарно-гігієнічних норм та правил пожежної безпеки несе суб'єкт господарювання згідно із законодавством.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9.2. Суб'єкт господарювання повинен своєчасно за свій рахунок усувати всі дефекти, що виникають в процесі експлуатації об'єктів з надання послуг у сфері відпочинку і розваг.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9.3. Шкода, завдана при розміщенні об'єктів з надання послуг у сфері відпочинку і розваг внаслідок порушення законодавства у сфері благоустрою, підлягає компенсації у встановленому законодавством порядку.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9.4. За порушення вимог Закону України "Про благоустрій населених пунктів", Правил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благоустрою  на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території  Тетіївської міської ради, цього Положення винні особи несуть відповідальність, встановлену Кодексом України про адміністративні правопорушення.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9.5. У разі </w:t>
      </w:r>
      <w:proofErr w:type="gramStart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невиконання  обов'язків</w:t>
      </w:r>
      <w:proofErr w:type="gramEnd"/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 передбачених даним Положенням, КП «Агенція регіонального розвитку» Тетіївської міської ради  має право скасувати Дозвіл на надання послуг у сфері відпочинку  і розваг на визначеній території міста та дострокове припинення відповідного Договору оренди окремих конструктивних елементів благоустрою комунальної власності.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ind w:left="4248"/>
        <w:jc w:val="right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530176" w:rsidRPr="00530176" w:rsidRDefault="00530176" w:rsidP="00530176">
      <w:pPr>
        <w:shd w:val="clear" w:color="auto" w:fill="F7F8F9"/>
        <w:spacing w:before="225" w:after="225" w:line="240" w:lineRule="auto"/>
        <w:ind w:left="709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530176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 Секретар ради                                          С.М.Денисюк</w:t>
      </w:r>
    </w:p>
    <w:p w:rsidR="00E32126" w:rsidRPr="00530176" w:rsidRDefault="00530176" w:rsidP="00530176"/>
    <w:sectPr w:rsidR="00E32126" w:rsidRPr="00530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511"/>
    <w:multiLevelType w:val="multilevel"/>
    <w:tmpl w:val="179A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A1F22"/>
    <w:multiLevelType w:val="multilevel"/>
    <w:tmpl w:val="2CA6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B43D1"/>
    <w:multiLevelType w:val="multilevel"/>
    <w:tmpl w:val="C732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0397A"/>
    <w:multiLevelType w:val="multilevel"/>
    <w:tmpl w:val="60482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248A5"/>
    <w:multiLevelType w:val="multilevel"/>
    <w:tmpl w:val="59908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373CE"/>
    <w:multiLevelType w:val="multilevel"/>
    <w:tmpl w:val="0BE23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6970E1"/>
    <w:multiLevelType w:val="multilevel"/>
    <w:tmpl w:val="8052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70404"/>
    <w:multiLevelType w:val="multilevel"/>
    <w:tmpl w:val="7AAEE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7136F7"/>
    <w:multiLevelType w:val="multilevel"/>
    <w:tmpl w:val="A752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12AF0"/>
    <w:multiLevelType w:val="multilevel"/>
    <w:tmpl w:val="DBDA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B20E7B"/>
    <w:multiLevelType w:val="multilevel"/>
    <w:tmpl w:val="875C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00F00"/>
    <w:multiLevelType w:val="multilevel"/>
    <w:tmpl w:val="5204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5A28B7"/>
    <w:multiLevelType w:val="multilevel"/>
    <w:tmpl w:val="4820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58441D"/>
    <w:multiLevelType w:val="multilevel"/>
    <w:tmpl w:val="93DE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F71437"/>
    <w:multiLevelType w:val="multilevel"/>
    <w:tmpl w:val="5802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85604D"/>
    <w:multiLevelType w:val="multilevel"/>
    <w:tmpl w:val="6C0E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B31688"/>
    <w:multiLevelType w:val="multilevel"/>
    <w:tmpl w:val="08C83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195255"/>
    <w:multiLevelType w:val="multilevel"/>
    <w:tmpl w:val="9E24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E71805"/>
    <w:multiLevelType w:val="multilevel"/>
    <w:tmpl w:val="4F4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23705F"/>
    <w:multiLevelType w:val="multilevel"/>
    <w:tmpl w:val="903E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507827"/>
    <w:multiLevelType w:val="multilevel"/>
    <w:tmpl w:val="65CA4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6F28E5"/>
    <w:multiLevelType w:val="multilevel"/>
    <w:tmpl w:val="05BA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  <w:lvlOverride w:ilvl="0">
      <w:startOverride w:val="2"/>
    </w:lvlOverride>
  </w:num>
  <w:num w:numId="3">
    <w:abstractNumId w:val="22"/>
  </w:num>
  <w:num w:numId="4">
    <w:abstractNumId w:val="1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9"/>
    <w:lvlOverride w:ilvl="0">
      <w:startOverride w:val="2"/>
    </w:lvlOverride>
  </w:num>
  <w:num w:numId="8">
    <w:abstractNumId w:val="4"/>
    <w:lvlOverride w:ilvl="0">
      <w:startOverride w:val="3"/>
    </w:lvlOverride>
  </w:num>
  <w:num w:numId="9">
    <w:abstractNumId w:val="5"/>
    <w:lvlOverride w:ilvl="0">
      <w:startOverride w:val="4"/>
    </w:lvlOverride>
  </w:num>
  <w:num w:numId="10">
    <w:abstractNumId w:val="20"/>
  </w:num>
  <w:num w:numId="11">
    <w:abstractNumId w:val="1"/>
  </w:num>
  <w:num w:numId="12">
    <w:abstractNumId w:val="8"/>
  </w:num>
  <w:num w:numId="13">
    <w:abstractNumId w:val="23"/>
  </w:num>
  <w:num w:numId="14">
    <w:abstractNumId w:val="15"/>
  </w:num>
  <w:num w:numId="15">
    <w:abstractNumId w:val="0"/>
  </w:num>
  <w:num w:numId="16">
    <w:abstractNumId w:val="9"/>
  </w:num>
  <w:num w:numId="17">
    <w:abstractNumId w:val="2"/>
    <w:lvlOverride w:ilvl="0">
      <w:startOverride w:val="2"/>
    </w:lvlOverride>
  </w:num>
  <w:num w:numId="18">
    <w:abstractNumId w:val="13"/>
    <w:lvlOverride w:ilvl="0">
      <w:startOverride w:val="3"/>
    </w:lvlOverride>
  </w:num>
  <w:num w:numId="19">
    <w:abstractNumId w:val="16"/>
    <w:lvlOverride w:ilvl="0">
      <w:startOverride w:val="4"/>
    </w:lvlOverride>
  </w:num>
  <w:num w:numId="20">
    <w:abstractNumId w:val="21"/>
  </w:num>
  <w:num w:numId="21">
    <w:abstractNumId w:val="6"/>
  </w:num>
  <w:num w:numId="22">
    <w:abstractNumId w:val="7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16B25"/>
    <w:rsid w:val="00091CDD"/>
    <w:rsid w:val="000B102B"/>
    <w:rsid w:val="000B2ABA"/>
    <w:rsid w:val="000E6AFB"/>
    <w:rsid w:val="001335AB"/>
    <w:rsid w:val="00190DEB"/>
    <w:rsid w:val="0023166C"/>
    <w:rsid w:val="002D0A5A"/>
    <w:rsid w:val="0039329B"/>
    <w:rsid w:val="00401F04"/>
    <w:rsid w:val="004B01AD"/>
    <w:rsid w:val="004C49C0"/>
    <w:rsid w:val="00504D05"/>
    <w:rsid w:val="00530176"/>
    <w:rsid w:val="00556BBB"/>
    <w:rsid w:val="006435CE"/>
    <w:rsid w:val="006B3D96"/>
    <w:rsid w:val="00707CA9"/>
    <w:rsid w:val="00781075"/>
    <w:rsid w:val="007D0DA8"/>
    <w:rsid w:val="008C5971"/>
    <w:rsid w:val="009E1C1B"/>
    <w:rsid w:val="00A144BD"/>
    <w:rsid w:val="00AD7D5B"/>
    <w:rsid w:val="00C07785"/>
    <w:rsid w:val="00D86DCA"/>
    <w:rsid w:val="00ED23AF"/>
    <w:rsid w:val="00F110BF"/>
    <w:rsid w:val="00F32919"/>
    <w:rsid w:val="00F469EA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0A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A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29</cp:revision>
  <dcterms:created xsi:type="dcterms:W3CDTF">2019-03-26T09:48:00Z</dcterms:created>
  <dcterms:modified xsi:type="dcterms:W3CDTF">2019-05-16T07:26:00Z</dcterms:modified>
</cp:coreProperties>
</file>