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123"/>
        <w:gridCol w:w="1119"/>
        <w:gridCol w:w="3203"/>
      </w:tblGrid>
      <w:tr w:rsidR="00E350DA" w:rsidRPr="00020D57" w:rsidTr="00211FEF">
        <w:trPr>
          <w:trHeight w:val="1026"/>
        </w:trPr>
        <w:tc>
          <w:tcPr>
            <w:tcW w:w="9675" w:type="dxa"/>
            <w:gridSpan w:val="4"/>
          </w:tcPr>
          <w:p w:rsidR="00E350DA" w:rsidRPr="005D7E43" w:rsidRDefault="0021760F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5pt;height:47.25pt;visibility:visible">
                  <v:imagedata r:id="rId6" o:title=""/>
                </v:shape>
              </w:pict>
            </w:r>
            <w:r w:rsidR="00E350DA"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  <w:p w:rsidR="00E350DA" w:rsidRPr="005D7E43" w:rsidRDefault="00E350DA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E350DA" w:rsidRPr="005D7E43" w:rsidRDefault="00E350DA" w:rsidP="005D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ЧЕРВОНОГРАДСЬКА МІСЬКА РАДА</w:t>
            </w:r>
          </w:p>
          <w:p w:rsidR="00E350DA" w:rsidRPr="005D7E43" w:rsidRDefault="00E350DA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  <w:t>Львівської області</w:t>
            </w:r>
          </w:p>
          <w:p w:rsidR="00B47477" w:rsidRPr="00B47477" w:rsidRDefault="00B47477" w:rsidP="00B474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474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Тридцять перша сесія сьомого скликання</w:t>
            </w:r>
          </w:p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Р І Ш Е Н Н Я</w:t>
            </w:r>
          </w:p>
        </w:tc>
      </w:tr>
      <w:tr w:rsidR="00E350DA" w:rsidRPr="00020D57" w:rsidTr="00211FEF">
        <w:tc>
          <w:tcPr>
            <w:tcW w:w="3230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E350DA" w:rsidRPr="005D7E43" w:rsidRDefault="00E350DA" w:rsidP="005D7E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203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E350DA" w:rsidRPr="00020D57" w:rsidTr="00211FEF">
        <w:tc>
          <w:tcPr>
            <w:tcW w:w="3230" w:type="dxa"/>
          </w:tcPr>
          <w:p w:rsidR="00E350DA" w:rsidRPr="005D7E43" w:rsidRDefault="00E350DA" w:rsidP="00B1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37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19.07.2018</w:t>
            </w:r>
          </w:p>
        </w:tc>
        <w:tc>
          <w:tcPr>
            <w:tcW w:w="3242" w:type="dxa"/>
            <w:gridSpan w:val="2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м.Червоноград</w:t>
            </w:r>
          </w:p>
        </w:tc>
        <w:tc>
          <w:tcPr>
            <w:tcW w:w="3203" w:type="dxa"/>
          </w:tcPr>
          <w:p w:rsidR="00E350DA" w:rsidRPr="005D7E43" w:rsidRDefault="00E350DA" w:rsidP="00B1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  <w:r w:rsidR="00B137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938</w:t>
            </w:r>
          </w:p>
        </w:tc>
      </w:tr>
      <w:tr w:rsidR="00E350DA" w:rsidRPr="00020D57" w:rsidTr="00211FEF">
        <w:tc>
          <w:tcPr>
            <w:tcW w:w="3230" w:type="dxa"/>
          </w:tcPr>
          <w:p w:rsidR="00E350DA" w:rsidRPr="005D7E43" w:rsidRDefault="00E350DA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E350DA" w:rsidRPr="00020D57" w:rsidTr="00211FEF">
        <w:tc>
          <w:tcPr>
            <w:tcW w:w="3230" w:type="dxa"/>
          </w:tcPr>
          <w:p w:rsidR="00E350DA" w:rsidRPr="005D7E43" w:rsidRDefault="00E350DA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E350DA" w:rsidRPr="00020D57" w:rsidTr="008A2CB7">
        <w:trPr>
          <w:trHeight w:val="431"/>
        </w:trPr>
        <w:tc>
          <w:tcPr>
            <w:tcW w:w="5353" w:type="dxa"/>
            <w:gridSpan w:val="2"/>
          </w:tcPr>
          <w:p w:rsidR="00E350DA" w:rsidRPr="00D30F2B" w:rsidRDefault="00E350DA" w:rsidP="00B45E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30F2B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r w:rsidRPr="00D30F2B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встановлення </w:t>
            </w:r>
            <w:r w:rsidRPr="00D30F2B">
              <w:rPr>
                <w:rFonts w:ascii="Times New Roman" w:hAnsi="Times New Roman"/>
                <w:b/>
                <w:noProof/>
                <w:sz w:val="26"/>
                <w:szCs w:val="26"/>
                <w:lang w:val="uk-UA"/>
              </w:rPr>
              <w:t>транспортного податку</w:t>
            </w:r>
            <w:r w:rsidRPr="00D30F2B">
              <w:rPr>
                <w:rFonts w:ascii="Times New Roman" w:hAnsi="Times New Roman"/>
                <w:b/>
                <w:sz w:val="26"/>
                <w:szCs w:val="26"/>
              </w:rPr>
              <w:t xml:space="preserve"> на території</w:t>
            </w:r>
            <w:r w:rsidRPr="00D30F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D30F2B">
              <w:rPr>
                <w:rFonts w:ascii="Times New Roman" w:hAnsi="Times New Roman"/>
                <w:b/>
                <w:sz w:val="26"/>
                <w:szCs w:val="26"/>
              </w:rPr>
              <w:t xml:space="preserve"> міста Червонограда</w:t>
            </w:r>
          </w:p>
        </w:tc>
        <w:tc>
          <w:tcPr>
            <w:tcW w:w="1119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E350DA" w:rsidRPr="005D7E43" w:rsidRDefault="00E350DA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D30F2B" w:rsidRPr="00D30F2B" w:rsidRDefault="00E350DA" w:rsidP="00D30F2B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0F2B">
        <w:rPr>
          <w:rFonts w:ascii="Times New Roman" w:hAnsi="Times New Roman"/>
          <w:noProof/>
          <w:sz w:val="26"/>
          <w:szCs w:val="26"/>
          <w:lang w:eastAsia="ru-RU"/>
        </w:rPr>
        <w:t>Керуючись пунктом 24 статті 26 Закону України «Про місцеве самоврядування в Україні», статтею 64 Бюджетного кодексу України зі змінами та доповненнями, статтею 7, підпунктом 12.3.3 пункту 12.3 статті 12, статтею 26</w:t>
      </w:r>
      <w:r w:rsidRPr="00D30F2B">
        <w:rPr>
          <w:rFonts w:ascii="Times New Roman" w:hAnsi="Times New Roman"/>
          <w:noProof/>
          <w:sz w:val="26"/>
          <w:szCs w:val="26"/>
          <w:lang w:val="uk-UA" w:eastAsia="ru-RU"/>
        </w:rPr>
        <w:t>7</w:t>
      </w:r>
      <w:r w:rsidRPr="00D30F2B">
        <w:rPr>
          <w:rFonts w:ascii="Times New Roman" w:hAnsi="Times New Roman"/>
          <w:noProof/>
          <w:sz w:val="26"/>
          <w:szCs w:val="26"/>
          <w:lang w:eastAsia="ru-RU"/>
        </w:rPr>
        <w:t xml:space="preserve"> Податкового кодексу України, Законом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від 7.12.2017 року № 2245-VIII, </w:t>
      </w:r>
      <w:r w:rsidRPr="00D30F2B">
        <w:rPr>
          <w:rFonts w:ascii="Times New Roman" w:hAnsi="Times New Roman"/>
          <w:sz w:val="26"/>
          <w:szCs w:val="26"/>
          <w:lang w:val="uk-UA" w:eastAsia="ru-RU"/>
        </w:rPr>
        <w:t>Червоноградська міська рада</w:t>
      </w:r>
    </w:p>
    <w:p w:rsidR="00E350DA" w:rsidRPr="00D30F2B" w:rsidRDefault="00E350DA" w:rsidP="00D30F2B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pacing w:val="60"/>
          <w:sz w:val="26"/>
          <w:szCs w:val="26"/>
          <w:lang w:eastAsia="ru-RU"/>
        </w:rPr>
      </w:pPr>
      <w:r w:rsidRPr="00D30F2B">
        <w:rPr>
          <w:rFonts w:ascii="Times New Roman" w:hAnsi="Times New Roman"/>
          <w:bCs/>
          <w:spacing w:val="60"/>
          <w:sz w:val="26"/>
          <w:szCs w:val="26"/>
          <w:lang w:eastAsia="ru-RU"/>
        </w:rPr>
        <w:t>ВИРІШИЛА:</w:t>
      </w:r>
    </w:p>
    <w:p w:rsidR="00E350DA" w:rsidRPr="00D30F2B" w:rsidRDefault="00E350DA" w:rsidP="00695305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D30F2B">
        <w:rPr>
          <w:rFonts w:ascii="Times New Roman" w:hAnsi="Times New Roman"/>
          <w:noProof/>
          <w:sz w:val="26"/>
          <w:szCs w:val="26"/>
          <w:lang w:val="uk-UA" w:eastAsia="ru-RU"/>
        </w:rPr>
        <w:t xml:space="preserve"> В</w:t>
      </w:r>
      <w:r w:rsidRPr="00D30F2B">
        <w:rPr>
          <w:rFonts w:ascii="Times New Roman" w:hAnsi="Times New Roman"/>
          <w:noProof/>
          <w:sz w:val="26"/>
          <w:szCs w:val="26"/>
          <w:lang w:eastAsia="ru-RU"/>
        </w:rPr>
        <w:t xml:space="preserve">становити на території міста </w:t>
      </w:r>
      <w:r w:rsidRPr="00D30F2B">
        <w:rPr>
          <w:rFonts w:ascii="Times New Roman" w:hAnsi="Times New Roman"/>
          <w:noProof/>
          <w:sz w:val="26"/>
          <w:szCs w:val="26"/>
          <w:lang w:val="uk-UA" w:eastAsia="ru-RU"/>
        </w:rPr>
        <w:t>Червонограда транспортний податок</w:t>
      </w:r>
      <w:r w:rsidRPr="00D30F2B">
        <w:rPr>
          <w:rFonts w:ascii="Times New Roman" w:hAnsi="Times New Roman"/>
          <w:noProof/>
          <w:sz w:val="26"/>
          <w:szCs w:val="26"/>
          <w:lang w:eastAsia="ru-RU"/>
        </w:rPr>
        <w:t>.</w:t>
      </w:r>
    </w:p>
    <w:p w:rsidR="00E350DA" w:rsidRPr="00D30F2B" w:rsidRDefault="00E350DA" w:rsidP="00695305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 Платників транспортного податку визначати відповідно до пункту 267.1 статті 267 Податкового кодексу України. </w:t>
      </w:r>
    </w:p>
    <w:p w:rsidR="00E350DA" w:rsidRPr="00D30F2B" w:rsidRDefault="00E350DA" w:rsidP="00695305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D30F2B">
        <w:rPr>
          <w:rFonts w:ascii="Times New Roman" w:hAnsi="Times New Roman"/>
          <w:sz w:val="26"/>
          <w:szCs w:val="26"/>
        </w:rPr>
        <w:t>Об'єкт оподаткування транспортного податку визнача</w:t>
      </w:r>
      <w:r w:rsidRPr="00D30F2B">
        <w:rPr>
          <w:rFonts w:ascii="Times New Roman" w:hAnsi="Times New Roman"/>
          <w:sz w:val="26"/>
          <w:szCs w:val="26"/>
          <w:lang w:val="uk-UA"/>
        </w:rPr>
        <w:t>ти</w:t>
      </w:r>
      <w:r w:rsidRPr="00D30F2B">
        <w:rPr>
          <w:rFonts w:ascii="Times New Roman" w:hAnsi="Times New Roman"/>
          <w:sz w:val="26"/>
          <w:szCs w:val="26"/>
        </w:rPr>
        <w:t xml:space="preserve"> відповідно до пункту 267.2 статті 267 Податкового кодексу України</w:t>
      </w:r>
      <w:r w:rsidRPr="00D30F2B">
        <w:rPr>
          <w:rFonts w:ascii="Times New Roman" w:hAnsi="Times New Roman"/>
          <w:sz w:val="26"/>
          <w:szCs w:val="26"/>
          <w:lang w:val="uk-UA"/>
        </w:rPr>
        <w:t>.</w:t>
      </w:r>
    </w:p>
    <w:p w:rsidR="00E350DA" w:rsidRPr="00D30F2B" w:rsidRDefault="00E350DA" w:rsidP="00695305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   1.3  Базу оподаткування транспортного податку визначати відповідно до пункту 267.3 статті 267 Податкового кодексу України. </w:t>
      </w:r>
    </w:p>
    <w:p w:rsidR="00E350DA" w:rsidRPr="00D30F2B" w:rsidRDefault="00E350DA" w:rsidP="006953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>1.4. Ставку транспортного податку визначати відповідно до пункту 267.4 статті 267 Податкового кодексу України.</w:t>
      </w:r>
    </w:p>
    <w:p w:rsidR="00E350DA" w:rsidRPr="00D30F2B" w:rsidRDefault="00E350DA" w:rsidP="006953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>1.5. Податковий період транспортного податку визначати відповідно до пункту 267.5 статті 267 Податкового кодексу України.</w:t>
      </w:r>
    </w:p>
    <w:p w:rsidR="00E350DA" w:rsidRPr="00D30F2B" w:rsidRDefault="00E350DA" w:rsidP="006953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1.6. Порядок обчислення та сплати транспортного податку визначати відповідно до пункту 267.6 статті 267 Податкового кодексу України. </w:t>
      </w:r>
    </w:p>
    <w:p w:rsidR="00E350DA" w:rsidRPr="00D30F2B" w:rsidRDefault="00E350DA" w:rsidP="006953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>1.7. Податок сплачувати за місцем реєстрації об'єктів оподаткування і зараховувати до міського бюджету м. Червонограда згідно з положеннями Бюджетного кодексу України.</w:t>
      </w:r>
    </w:p>
    <w:p w:rsidR="00E350DA" w:rsidRPr="00D30F2B" w:rsidRDefault="00E350DA" w:rsidP="00695305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>1.8. Строки сплати транспортного податку визначати відповідно до пункту 267.8 статті 267 Податкового кодексу України.</w:t>
      </w:r>
    </w:p>
    <w:p w:rsidR="00E350DA" w:rsidRPr="00D30F2B" w:rsidRDefault="00E350DA" w:rsidP="00993765">
      <w:pPr>
        <w:ind w:firstLine="284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noProof/>
          <w:sz w:val="26"/>
          <w:szCs w:val="26"/>
          <w:lang w:eastAsia="ru-RU"/>
        </w:rPr>
        <w:t xml:space="preserve">2. </w:t>
      </w: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Редакції газети «Новини Прибужжя» опублікувати дане рішення. </w:t>
      </w:r>
    </w:p>
    <w:p w:rsidR="002F46E6" w:rsidRPr="00D30F2B" w:rsidRDefault="00E350DA" w:rsidP="00A4378D">
      <w:pPr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  </w:t>
      </w:r>
      <w:r w:rsidR="002F46E6" w:rsidRPr="00D30F2B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A4378D" w:rsidRPr="00D30F2B">
        <w:rPr>
          <w:rFonts w:ascii="Times New Roman" w:hAnsi="Times New Roman"/>
          <w:sz w:val="26"/>
          <w:szCs w:val="26"/>
          <w:lang w:val="en-US" w:eastAsia="ru-RU"/>
        </w:rPr>
        <w:t>3</w:t>
      </w:r>
      <w:r w:rsidRPr="00D30F2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D30F2B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="002F46E6" w:rsidRPr="00D30F2B">
        <w:rPr>
          <w:rFonts w:ascii="Times New Roman" w:hAnsi="Times New Roman"/>
          <w:sz w:val="26"/>
          <w:szCs w:val="26"/>
          <w:lang w:val="uk-UA" w:eastAsia="ru-RU"/>
        </w:rPr>
        <w:t xml:space="preserve">Рішення набирає чинності з </w:t>
      </w:r>
      <w:r w:rsidR="002F46E6" w:rsidRPr="00D30F2B">
        <w:rPr>
          <w:rFonts w:ascii="Times New Roman" w:hAnsi="Times New Roman"/>
          <w:color w:val="000000"/>
          <w:sz w:val="26"/>
          <w:szCs w:val="26"/>
          <w:lang w:val="uk-UA" w:eastAsia="ru-RU"/>
        </w:rPr>
        <w:t>01 </w:t>
      </w:r>
      <w:r w:rsidR="006D1DCD" w:rsidRPr="00D30F2B">
        <w:rPr>
          <w:rFonts w:ascii="Times New Roman" w:hAnsi="Times New Roman"/>
          <w:color w:val="000000"/>
          <w:sz w:val="26"/>
          <w:szCs w:val="26"/>
          <w:lang w:val="uk-UA" w:eastAsia="ru-RU"/>
        </w:rPr>
        <w:t>серп</w:t>
      </w:r>
      <w:r w:rsidR="002F46E6" w:rsidRPr="00D30F2B">
        <w:rPr>
          <w:rFonts w:ascii="Times New Roman" w:hAnsi="Times New Roman"/>
          <w:color w:val="000000"/>
          <w:sz w:val="26"/>
          <w:szCs w:val="26"/>
          <w:lang w:val="uk-UA" w:eastAsia="ru-RU"/>
        </w:rPr>
        <w:t>ня 2018 року.</w:t>
      </w:r>
    </w:p>
    <w:p w:rsidR="00E350DA" w:rsidRPr="00D30F2B" w:rsidRDefault="00A4378D" w:rsidP="000D173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30F2B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2F46E6" w:rsidRPr="00D30F2B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 w:rsidR="00E350DA" w:rsidRPr="00D30F2B">
        <w:rPr>
          <w:rFonts w:ascii="Times New Roman" w:hAnsi="Times New Roman"/>
          <w:sz w:val="26"/>
          <w:szCs w:val="26"/>
          <w:lang w:val="uk-UA" w:eastAsia="ru-RU"/>
        </w:rPr>
        <w:t>Контроль за виконанням рішення покласти на постійну комісію з питань бюджету (Фартушок Д.І.), заступника міського голови з питань діяльності виконавчих органів ради Гаманюка В.В.</w:t>
      </w:r>
    </w:p>
    <w:p w:rsidR="00D30F2B" w:rsidRDefault="00D30F2B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en-US" w:eastAsia="ru-RU"/>
        </w:rPr>
      </w:pPr>
    </w:p>
    <w:p w:rsidR="00E350DA" w:rsidRPr="00D30F2B" w:rsidRDefault="00E350DA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0F2B">
        <w:rPr>
          <w:rFonts w:ascii="Times New Roman" w:hAnsi="Times New Roman"/>
          <w:sz w:val="26"/>
          <w:szCs w:val="26"/>
          <w:lang w:eastAsia="ru-RU"/>
        </w:rPr>
        <w:t xml:space="preserve">Міський голова </w:t>
      </w:r>
      <w:r w:rsidRPr="00D30F2B">
        <w:rPr>
          <w:rFonts w:ascii="Times New Roman" w:hAnsi="Times New Roman"/>
          <w:sz w:val="26"/>
          <w:szCs w:val="26"/>
          <w:lang w:eastAsia="ru-RU"/>
        </w:rPr>
        <w:tab/>
      </w:r>
      <w:r w:rsidRPr="00D30F2B">
        <w:rPr>
          <w:rFonts w:ascii="Times New Roman" w:hAnsi="Times New Roman"/>
          <w:sz w:val="26"/>
          <w:szCs w:val="26"/>
          <w:lang w:eastAsia="ru-RU"/>
        </w:rPr>
        <w:tab/>
      </w:r>
      <w:r w:rsidRPr="00D30F2B">
        <w:rPr>
          <w:rFonts w:ascii="Times New Roman" w:hAnsi="Times New Roman"/>
          <w:sz w:val="26"/>
          <w:szCs w:val="26"/>
          <w:lang w:eastAsia="ru-RU"/>
        </w:rPr>
        <w:tab/>
      </w:r>
      <w:r w:rsidR="0021760F">
        <w:rPr>
          <w:rFonts w:ascii="Times New Roman" w:hAnsi="Times New Roman"/>
          <w:i/>
          <w:sz w:val="26"/>
          <w:szCs w:val="26"/>
          <w:lang w:val="uk-UA" w:eastAsia="ru-RU"/>
        </w:rPr>
        <w:t>(підпис)</w:t>
      </w:r>
      <w:bookmarkStart w:id="0" w:name="_GoBack"/>
      <w:bookmarkEnd w:id="0"/>
      <w:r w:rsidRPr="00D30F2B">
        <w:rPr>
          <w:rFonts w:ascii="Times New Roman" w:hAnsi="Times New Roman"/>
          <w:sz w:val="26"/>
          <w:szCs w:val="26"/>
          <w:lang w:eastAsia="ru-RU"/>
        </w:rPr>
        <w:tab/>
      </w: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              </w:t>
      </w:r>
      <w:r w:rsidRPr="00D30F2B">
        <w:rPr>
          <w:rFonts w:ascii="Times New Roman" w:hAnsi="Times New Roman"/>
          <w:sz w:val="26"/>
          <w:szCs w:val="26"/>
          <w:lang w:eastAsia="ru-RU"/>
        </w:rPr>
        <w:tab/>
      </w:r>
      <w:r w:rsidRPr="00D30F2B">
        <w:rPr>
          <w:rFonts w:ascii="Times New Roman" w:hAnsi="Times New Roman"/>
          <w:sz w:val="26"/>
          <w:szCs w:val="26"/>
          <w:lang w:val="uk-UA" w:eastAsia="ru-RU"/>
        </w:rPr>
        <w:t>А</w:t>
      </w:r>
      <w:r w:rsidRPr="00D30F2B">
        <w:rPr>
          <w:rFonts w:ascii="Times New Roman" w:hAnsi="Times New Roman"/>
          <w:sz w:val="26"/>
          <w:szCs w:val="26"/>
          <w:lang w:eastAsia="ru-RU"/>
        </w:rPr>
        <w:t>.</w:t>
      </w:r>
      <w:r w:rsidRPr="00D30F2B">
        <w:rPr>
          <w:rFonts w:ascii="Times New Roman" w:hAnsi="Times New Roman"/>
          <w:sz w:val="26"/>
          <w:szCs w:val="26"/>
          <w:lang w:val="uk-UA" w:eastAsia="ru-RU"/>
        </w:rPr>
        <w:t xml:space="preserve"> ЗАЛІВСЬКИЙ</w:t>
      </w:r>
    </w:p>
    <w:p w:rsidR="00E350DA" w:rsidRPr="005D7E43" w:rsidRDefault="00E350DA" w:rsidP="0021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E350DA" w:rsidRPr="005D7E43" w:rsidSect="00211FEF">
      <w:pgSz w:w="11906" w:h="16838"/>
      <w:pgMar w:top="719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D44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69"/>
    <w:rsid w:val="00020D57"/>
    <w:rsid w:val="00060275"/>
    <w:rsid w:val="00092569"/>
    <w:rsid w:val="000D173A"/>
    <w:rsid w:val="00211FEF"/>
    <w:rsid w:val="0021760F"/>
    <w:rsid w:val="00265C5C"/>
    <w:rsid w:val="002F46E6"/>
    <w:rsid w:val="00431F62"/>
    <w:rsid w:val="00471A7F"/>
    <w:rsid w:val="005D7E43"/>
    <w:rsid w:val="00695305"/>
    <w:rsid w:val="006D1DCD"/>
    <w:rsid w:val="00705C55"/>
    <w:rsid w:val="008A2CB7"/>
    <w:rsid w:val="00993765"/>
    <w:rsid w:val="00A22B8D"/>
    <w:rsid w:val="00A4378D"/>
    <w:rsid w:val="00AB4608"/>
    <w:rsid w:val="00AE081C"/>
    <w:rsid w:val="00B137EF"/>
    <w:rsid w:val="00B45E95"/>
    <w:rsid w:val="00B47477"/>
    <w:rsid w:val="00B7751C"/>
    <w:rsid w:val="00D30F2B"/>
    <w:rsid w:val="00E237D7"/>
    <w:rsid w:val="00E350DA"/>
    <w:rsid w:val="00F02299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5D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</cp:lastModifiedBy>
  <cp:revision>22</cp:revision>
  <cp:lastPrinted>2018-07-05T08:39:00Z</cp:lastPrinted>
  <dcterms:created xsi:type="dcterms:W3CDTF">2018-06-12T05:43:00Z</dcterms:created>
  <dcterms:modified xsi:type="dcterms:W3CDTF">2018-07-20T12:59:00Z</dcterms:modified>
</cp:coreProperties>
</file>