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F1" w:rsidRPr="00325CF1" w:rsidRDefault="00325CF1" w:rsidP="00325CF1">
      <w:pPr>
        <w:shd w:val="clear" w:color="auto" w:fill="F9F9F9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636B7B"/>
          <w:kern w:val="36"/>
          <w:sz w:val="28"/>
          <w:szCs w:val="28"/>
          <w:lang w:eastAsia="ru-RU"/>
        </w:rPr>
      </w:pPr>
      <w:r w:rsidRPr="00325CF1">
        <w:rPr>
          <w:rFonts w:ascii="Arial" w:eastAsia="Times New Roman" w:hAnsi="Arial" w:cs="Arial"/>
          <w:b/>
          <w:bCs/>
          <w:caps/>
          <w:color w:val="636B7B"/>
          <w:kern w:val="36"/>
          <w:sz w:val="28"/>
          <w:szCs w:val="28"/>
          <w:lang w:eastAsia="ru-RU"/>
        </w:rPr>
        <w:t>УКРАЇНА</w:t>
      </w:r>
    </w:p>
    <w:p w:rsidR="00325CF1" w:rsidRPr="00325CF1" w:rsidRDefault="00325CF1" w:rsidP="00325CF1">
      <w:pPr>
        <w:shd w:val="clear" w:color="auto" w:fill="F9F9F9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636B7B"/>
          <w:kern w:val="36"/>
          <w:sz w:val="28"/>
          <w:szCs w:val="28"/>
          <w:lang w:eastAsia="ru-RU"/>
        </w:rPr>
      </w:pPr>
    </w:p>
    <w:p w:rsidR="00325CF1" w:rsidRPr="00325CF1" w:rsidRDefault="00325CF1" w:rsidP="00325CF1">
      <w:pPr>
        <w:shd w:val="clear" w:color="auto" w:fill="F9F9F9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636B7B"/>
          <w:kern w:val="36"/>
          <w:sz w:val="28"/>
          <w:szCs w:val="28"/>
          <w:lang w:eastAsia="ru-RU"/>
        </w:rPr>
      </w:pPr>
      <w:r w:rsidRPr="00325CF1">
        <w:rPr>
          <w:rFonts w:ascii="Arial" w:eastAsia="Times New Roman" w:hAnsi="Arial" w:cs="Arial"/>
          <w:b/>
          <w:bCs/>
          <w:caps/>
          <w:color w:val="636B7B"/>
          <w:kern w:val="36"/>
          <w:sz w:val="28"/>
          <w:szCs w:val="28"/>
          <w:lang w:eastAsia="ru-RU"/>
        </w:rPr>
        <w:t>ТЕТІЇВСЬКА МІСЬКА РАДА</w:t>
      </w:r>
    </w:p>
    <w:p w:rsidR="00325CF1" w:rsidRPr="00325CF1" w:rsidRDefault="00325CF1" w:rsidP="00325CF1">
      <w:pPr>
        <w:shd w:val="clear" w:color="auto" w:fill="F9F9F9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636B7B"/>
          <w:kern w:val="36"/>
          <w:sz w:val="28"/>
          <w:szCs w:val="28"/>
          <w:lang w:eastAsia="ru-RU"/>
        </w:rPr>
      </w:pPr>
    </w:p>
    <w:p w:rsidR="00325CF1" w:rsidRPr="00325CF1" w:rsidRDefault="00325CF1" w:rsidP="00325CF1">
      <w:pPr>
        <w:shd w:val="clear" w:color="auto" w:fill="F9F9F9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636B7B"/>
          <w:kern w:val="36"/>
          <w:sz w:val="28"/>
          <w:szCs w:val="28"/>
          <w:lang w:eastAsia="ru-RU"/>
        </w:rPr>
      </w:pPr>
      <w:r w:rsidRPr="00325CF1">
        <w:rPr>
          <w:rFonts w:ascii="Arial" w:eastAsia="Times New Roman" w:hAnsi="Arial" w:cs="Arial"/>
          <w:b/>
          <w:bCs/>
          <w:caps/>
          <w:color w:val="636B7B"/>
          <w:kern w:val="36"/>
          <w:sz w:val="28"/>
          <w:szCs w:val="28"/>
          <w:lang w:eastAsia="ru-RU"/>
        </w:rPr>
        <w:t>ПЕРША СЕСІЯ МІСЬКОЇ РАДИ СЬОМОГО  СКЛИКАННЯ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                 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Друге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пленарне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засідання</w:t>
      </w:r>
      <w:proofErr w:type="spellEnd"/>
    </w:p>
    <w:p w:rsidR="00325CF1" w:rsidRPr="00325CF1" w:rsidRDefault="00325CF1" w:rsidP="00325CF1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</w:t>
      </w:r>
    </w:p>
    <w:p w:rsidR="00325CF1" w:rsidRPr="00325CF1" w:rsidRDefault="00325CF1" w:rsidP="00325CF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                        Р І Ш Е Н </w:t>
      </w:r>
      <w:proofErr w:type="spellStart"/>
      <w:proofErr w:type="gram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proofErr w:type="gram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Я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426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25CF1" w:rsidRPr="00325CF1" w:rsidRDefault="00325CF1" w:rsidP="00325CF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бюджет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ради</w:t>
      </w:r>
      <w:proofErr w:type="gramEnd"/>
    </w:p>
    <w:p w:rsidR="00325CF1" w:rsidRPr="00325CF1" w:rsidRDefault="00325CF1" w:rsidP="00325CF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об’єднаної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на 2018 </w:t>
      </w:r>
      <w:proofErr w:type="spellStart"/>
      <w:proofErr w:type="gram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ік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bookmarkEnd w:id="0"/>
    <w:p w:rsidR="00325CF1" w:rsidRPr="00325CF1" w:rsidRDefault="00325CF1" w:rsidP="00325CF1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вирішила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Визначити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2018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–  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доходи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бюджету ОТГ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131 538 200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грн., у тому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числі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доходів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 бюджету ОТГ – 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131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240 900 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грн., доходи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спеціального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  бюджету ОТГ – 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297 300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грн.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додатком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1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цього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;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– 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видатки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бюджету ОТГ в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131 538 200 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грн., 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тому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числі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 бюджету ОТГ – 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126 849 410 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грн.,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спеціального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 бюджету ОТГ –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4 688 790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грн.;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–  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повернення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кредитів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 бюджету ОТГ та 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кредитів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з бюджету ОТГ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додатком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4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цього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;</w:t>
      </w:r>
    </w:p>
    <w:p w:rsidR="00325CF1" w:rsidRPr="00325CF1" w:rsidRDefault="00325CF1" w:rsidP="00325CF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– </w:t>
      </w:r>
      <w:proofErr w:type="spellStart"/>
      <w:proofErr w:type="gram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проф</w:t>
      </w:r>
      <w:proofErr w:type="gram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іцит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бюджету ОТГ 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4 391 490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грн., в тому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числі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 бюджету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4 391 490 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грн. 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додатком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2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цього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дефіцит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спеціального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 бюджету ОТГ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4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391 490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грн.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додатком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2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цього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2.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бюджетні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головному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розпоряднику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бюджету ОТГ на 2018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розрізі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виконавця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бюджетними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програмами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у тому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числі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 –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126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849 410 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грн.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спеціальному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 –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4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688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700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грн.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додатком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2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цього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3.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Визначити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оборотний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касовий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залишок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районного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1000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грн.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4.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2018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міжбюджетні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трансферти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додатком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5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цього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5.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2018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перелік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об’єктів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фінансування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буде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здійснюватися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додатком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6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цього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6.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перелік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захищених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статей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видатків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загального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фонду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бюджету ОТГ на 2018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55 Бюджетного кодексу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>7. 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складі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ОТГ 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реалізацію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місцевих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регіональних</w:t>
      </w:r>
      <w:proofErr w:type="spellEnd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програм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додатком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7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цього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8. 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фонді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ОТГ на 2018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–  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доходів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належать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надходження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визначені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ст. 64 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Бюджетного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;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– 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джерелами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формування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фінансування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є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вільний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залишок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шляхом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внесення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бюджет ОТГ за результатами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річного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звіту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об’єднались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попередній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період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9.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джерелами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формування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спеціального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 бюджету ОТГ на 2018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доходів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є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надходження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визначені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ст. 69-¹ Бюджетного кодексу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також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залишки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спеціального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об’єднались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(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крім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надходжень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шляхом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внесення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бюджет ОТГ за результатами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ічного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звіту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попередній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період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10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визначає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головним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розпорядником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–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зареєстровану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особу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Виконавчий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11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43 та 73 Бюджетного кодексу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отримувати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порядку,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визначеному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Кабінетом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Міні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–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позики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покриття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тимчасових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касових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розривів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ОТГ,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пов’язаних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забезпеченням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захищених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фонду, в межах поточного бюджетного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періоду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єдиного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казначейського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договірних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умовах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без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нарахування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відсотків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цими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коштами 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обов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’язковим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поверненням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кінця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поточного бюджетного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періоду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12.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–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укладати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установленому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порядку угоди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Управлінням</w:t>
      </w:r>
      <w:proofErr w:type="spellEnd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ержавної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казначейської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служби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Київській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отримання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короткотермінових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позичок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покриття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тимчасових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касових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розривів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бюджету ОТГ,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пов’язаних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забезпеченням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захищених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фонду, в першу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чергу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оплату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праці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нарахування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працівників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придбання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продуктів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харчування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медикаментів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оплату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послуг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енергоносіїв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межах поточного бюджетного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періоду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єдиного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казначейського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договірних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умовах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без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нарахування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відсотків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цими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коштами;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– в межах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обсягу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окремо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бюджетною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програмою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спеціальному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фондах бюджету ОТГ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обґрунтованим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поданням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головного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розпорядника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здійснювати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перерозподіл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асигнувань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розписі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ОТГ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кошторисах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в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розрізі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економічної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класифікації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13.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– 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23 Бюджетного кодексу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межах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обсягу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головного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розпорядника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здійснювати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перерозподіл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бюджетними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програмами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також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збільшення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зменшення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інших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окремо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загальним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спеціальним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фондами бюджету) у порядку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встановленому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Кабінетом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Міні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погодженням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постійною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комісією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планування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бюджету,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фінансів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іально-економічного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подальшим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затвердженням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–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108 Бюджетного кодексу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делегувати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міжсесійний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період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збільшувати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зменшувати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обсяги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доходної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видаткової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ОТГ в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разі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збільшення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зменшення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обсягів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міжбюджетних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трансфертів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Державного бюджету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інших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здійснювати</w:t>
      </w:r>
      <w:proofErr w:type="spellEnd"/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розподіл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перерозподіл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між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бюджетам ОТГ,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головними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розпорядниками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ОТГ,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погодженням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постійною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комісією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постійною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комісією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планування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бюджету,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фінансів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іально-економічного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14.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Якщо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ісля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прийняття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бюджет ОТГ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повноваження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функцій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або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послуг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на яке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затверджене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бюджетне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передається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установленому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порядку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одного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розпорядника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ОТГ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іншому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головному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розпоряднику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то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бюджетного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не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припиняється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застосовується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тих самих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функцій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послуг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іншому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головному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розпоряднику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це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доручено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процедурою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визначеною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6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23 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Бюджетного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15.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Розпоряднику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</w:t>
      </w:r>
      <w:proofErr w:type="spellEnd"/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бюджету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першочерговому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порядку потребу в коштах на оплату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праці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працівників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встановлених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законодавством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умов оплати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праці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розміру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мінімальної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заробітної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плати;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проведення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розрахунків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електроенергію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теплову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енергію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водопостачання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водовідведення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природний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газ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послуги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зв’язку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споживаються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бюджетними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установами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16.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Головному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розпоряднику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ОТГ - 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–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тижневий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складання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кошторисів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доходів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планів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використання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одержувачів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ОТГ і подати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ержавної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казначейської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служби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Тетіївському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Київській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;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– не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приймати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збільшення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мережі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закладів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чисельності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працівників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склалися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18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січня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2018 року;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–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ліміти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споживання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енергоносіїв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натуральних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показниках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кожної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установи,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виходячи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обсягів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розпоряднику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</w:t>
      </w:r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</w:t>
      </w:r>
      <w:proofErr w:type="spellEnd"/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17.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Установити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керівники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утримують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чисельність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працівників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здійснюють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фактичні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заробітну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включаючи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видатки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премії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інші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заохочень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винагород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матеріальну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допомогу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лише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межах фонду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заробітної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плати,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кошторисах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або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планах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використання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  <w:proofErr w:type="gramEnd"/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18.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1-7 до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цього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є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його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невід’ємною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19.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пункту 18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розділу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VI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Прикінцевих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перехідних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Бюджетного кодексу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починаючи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2018 року на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івні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ОТГ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застосовується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програмно-цільовий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метод у бюджетному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процесі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20.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Це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набирає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чинності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01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січня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2018 року.</w:t>
      </w:r>
    </w:p>
    <w:p w:rsidR="00325CF1" w:rsidRPr="00325CF1" w:rsidRDefault="00325CF1" w:rsidP="00325CF1">
      <w:pPr>
        <w:shd w:val="clear" w:color="auto" w:fill="F9F9F9"/>
        <w:spacing w:after="0" w:line="240" w:lineRule="auto"/>
        <w:ind w:left="-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>21.</w:t>
      </w: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Контроль за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цього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ради з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планування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бюджету,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фінансів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соціально-економічного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ОТГ.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25CF1" w:rsidRPr="00325CF1" w:rsidRDefault="00325CF1" w:rsidP="00325CF1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 </w:t>
      </w:r>
      <w:proofErr w:type="spellStart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325CF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                                                       Р.В.Майструк</w:t>
      </w:r>
    </w:p>
    <w:p w:rsidR="00415819" w:rsidRPr="00325CF1" w:rsidRDefault="00415819" w:rsidP="00325CF1"/>
    <w:sectPr w:rsidR="00415819" w:rsidRPr="0032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2CD"/>
    <w:multiLevelType w:val="multilevel"/>
    <w:tmpl w:val="DA7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8468B"/>
    <w:multiLevelType w:val="multilevel"/>
    <w:tmpl w:val="0E3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03EBF"/>
    <w:multiLevelType w:val="multilevel"/>
    <w:tmpl w:val="AC28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8121B"/>
    <w:multiLevelType w:val="multilevel"/>
    <w:tmpl w:val="6CF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B"/>
    <w:rsid w:val="000732AB"/>
    <w:rsid w:val="001925B0"/>
    <w:rsid w:val="001E198A"/>
    <w:rsid w:val="00325CF1"/>
    <w:rsid w:val="00415819"/>
    <w:rsid w:val="006C07EA"/>
    <w:rsid w:val="00CC730D"/>
    <w:rsid w:val="00D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1246</Words>
  <Characters>7105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8</cp:revision>
  <dcterms:created xsi:type="dcterms:W3CDTF">2018-10-24T05:23:00Z</dcterms:created>
  <dcterms:modified xsi:type="dcterms:W3CDTF">2018-10-31T06:54:00Z</dcterms:modified>
</cp:coreProperties>
</file>